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C86D7" w14:textId="77777777" w:rsidR="00476A9A" w:rsidRDefault="00476A9A" w:rsidP="007A2A64">
      <w:pPr>
        <w:rPr>
          <w:b/>
          <w:bCs/>
          <w:sz w:val="28"/>
          <w:szCs w:val="28"/>
        </w:rPr>
      </w:pPr>
    </w:p>
    <w:p w14:paraId="1040D15E" w14:textId="46FFF6D1" w:rsidR="007A2A64" w:rsidRDefault="007A2A64" w:rsidP="007A2A64">
      <w:pPr>
        <w:rPr>
          <w:b/>
          <w:bCs/>
          <w:sz w:val="28"/>
          <w:szCs w:val="28"/>
        </w:rPr>
      </w:pPr>
      <w:r>
        <w:rPr>
          <w:b/>
          <w:bCs/>
          <w:sz w:val="28"/>
          <w:szCs w:val="28"/>
        </w:rPr>
        <w:t>Maklervertrag</w:t>
      </w:r>
    </w:p>
    <w:p w14:paraId="276C990A" w14:textId="77777777" w:rsidR="007A2A64" w:rsidRDefault="007A2A64" w:rsidP="007A2A64">
      <w:pPr>
        <w:rPr>
          <w:b/>
          <w:bCs/>
          <w:sz w:val="28"/>
          <w:szCs w:val="28"/>
        </w:rPr>
      </w:pPr>
    </w:p>
    <w:p w14:paraId="67DB32BB" w14:textId="21ACBA73" w:rsidR="007A2A64" w:rsidRPr="00A0310E" w:rsidRDefault="007A2A64" w:rsidP="00EB117D">
      <w:pPr>
        <w:jc w:val="left"/>
        <w:rPr>
          <w:b/>
          <w:bCs/>
          <w:sz w:val="24"/>
          <w:szCs w:val="24"/>
        </w:rPr>
      </w:pPr>
      <w:r w:rsidRPr="00A0310E">
        <w:rPr>
          <w:b/>
          <w:bCs/>
          <w:sz w:val="24"/>
          <w:szCs w:val="24"/>
        </w:rPr>
        <w:t>Einleitende Hinweise für Vermittler</w:t>
      </w:r>
    </w:p>
    <w:p w14:paraId="7CA32269" w14:textId="77777777" w:rsidR="007A2A64" w:rsidRPr="007A2A64" w:rsidRDefault="007A2A64" w:rsidP="00EB117D">
      <w:pPr>
        <w:jc w:val="left"/>
      </w:pPr>
    </w:p>
    <w:p w14:paraId="75BAF4ED" w14:textId="689F30FC" w:rsidR="007A2A64" w:rsidRDefault="007A2A64" w:rsidP="00EB117D">
      <w:pPr>
        <w:jc w:val="left"/>
        <w:rPr>
          <w:rFonts w:cs="Arial"/>
          <w:bCs/>
          <w:szCs w:val="22"/>
        </w:rPr>
      </w:pPr>
      <w:r w:rsidRPr="007A2A64">
        <w:rPr>
          <w:rFonts w:cs="Arial"/>
          <w:bCs/>
          <w:szCs w:val="22"/>
        </w:rPr>
        <w:t xml:space="preserve">Unser Vorschlag für den Maklervertrag ist eine erste Hilfestellung für Sie, ersetzt aber Ihre Entscheidung über den im Einzelfall notwendigen individuellen, also kundenspezifischen, Maklervertrag nicht. Änderungen und/oder Ergänzungen sollten nur mit fachkundiger Hilfe (z.B. Rechtsanwalt oder Ihrem Berufsverband) vorgenommen werden. </w:t>
      </w:r>
    </w:p>
    <w:p w14:paraId="3E271ACC" w14:textId="7D3BE97C" w:rsidR="001C2937" w:rsidRDefault="001C2937" w:rsidP="00EB117D">
      <w:pPr>
        <w:jc w:val="left"/>
        <w:rPr>
          <w:rFonts w:cs="Arial"/>
          <w:bCs/>
          <w:szCs w:val="22"/>
        </w:rPr>
      </w:pPr>
    </w:p>
    <w:p w14:paraId="7E793108" w14:textId="29DC5ED8" w:rsidR="001C2937" w:rsidRDefault="001C2937" w:rsidP="00EB117D">
      <w:pPr>
        <w:jc w:val="left"/>
        <w:rPr>
          <w:rFonts w:cs="Arial"/>
          <w:bCs/>
          <w:szCs w:val="22"/>
        </w:rPr>
      </w:pPr>
      <w:r>
        <w:rPr>
          <w:rFonts w:cs="Arial"/>
          <w:bCs/>
          <w:szCs w:val="22"/>
        </w:rPr>
        <w:t>Die Fußnoten sind für Sie bestimmt und sollten daher von Ihnen vor Verwendung der Vorlage von Ihnen entfernt werden.</w:t>
      </w:r>
    </w:p>
    <w:p w14:paraId="30C52927" w14:textId="77777777" w:rsidR="007A2A64" w:rsidRDefault="007A2A64" w:rsidP="00EB117D">
      <w:pPr>
        <w:jc w:val="left"/>
        <w:rPr>
          <w:rFonts w:cs="Arial"/>
          <w:bCs/>
          <w:szCs w:val="22"/>
        </w:rPr>
      </w:pPr>
    </w:p>
    <w:p w14:paraId="4E26E02E" w14:textId="77777777" w:rsidR="007A2A64" w:rsidRPr="007A2A64" w:rsidRDefault="007A2A64" w:rsidP="00EB117D">
      <w:pPr>
        <w:jc w:val="left"/>
      </w:pPr>
    </w:p>
    <w:p w14:paraId="4E7A5CDA" w14:textId="72695676" w:rsidR="007A2A64" w:rsidRPr="00715491" w:rsidRDefault="007A2A64" w:rsidP="00EB117D">
      <w:pPr>
        <w:jc w:val="left"/>
        <w:rPr>
          <w:b/>
          <w:bCs/>
        </w:rPr>
      </w:pPr>
      <w:r w:rsidRPr="00715491">
        <w:rPr>
          <w:b/>
          <w:bCs/>
        </w:rPr>
        <w:t xml:space="preserve">Haftung </w:t>
      </w:r>
    </w:p>
    <w:p w14:paraId="4E8E25ED" w14:textId="77777777" w:rsidR="007A2A64" w:rsidRDefault="007A2A64" w:rsidP="00EB117D">
      <w:pPr>
        <w:jc w:val="left"/>
      </w:pPr>
    </w:p>
    <w:p w14:paraId="4748F4C8" w14:textId="3DBE74A8" w:rsidR="007A2A64" w:rsidRDefault="007A2A64" w:rsidP="00EB117D">
      <w:pPr>
        <w:jc w:val="left"/>
      </w:pPr>
      <w:r>
        <w:t>Der Arbeitskreis Beratungsprozesse übernimmt keine Haftung für Inhalt, Vollständigkeit oder auch die Wirkung der zur Verfügung gestellten Materialien.</w:t>
      </w:r>
    </w:p>
    <w:p w14:paraId="2703141B" w14:textId="77777777" w:rsidR="007A2A64" w:rsidRDefault="007A2A64" w:rsidP="00EB117D">
      <w:pPr>
        <w:jc w:val="left"/>
        <w:rPr>
          <w:b/>
          <w:bCs/>
        </w:rPr>
      </w:pPr>
    </w:p>
    <w:p w14:paraId="435C0F29" w14:textId="77777777" w:rsidR="007A2A64" w:rsidRDefault="007A2A64" w:rsidP="00EB117D">
      <w:pPr>
        <w:jc w:val="left"/>
        <w:rPr>
          <w:b/>
          <w:bCs/>
        </w:rPr>
      </w:pPr>
    </w:p>
    <w:p w14:paraId="54E37179" w14:textId="3C271BA3" w:rsidR="007A2A64" w:rsidRPr="00715491" w:rsidRDefault="007A2A64" w:rsidP="00EB117D">
      <w:pPr>
        <w:jc w:val="left"/>
        <w:rPr>
          <w:b/>
          <w:bCs/>
        </w:rPr>
      </w:pPr>
      <w:r w:rsidRPr="00715491">
        <w:rPr>
          <w:b/>
          <w:bCs/>
        </w:rPr>
        <w:t>Noch ein Hinweis</w:t>
      </w:r>
    </w:p>
    <w:p w14:paraId="62548C2E" w14:textId="77777777" w:rsidR="007A2A64" w:rsidRDefault="007A2A64" w:rsidP="00EB117D">
      <w:pPr>
        <w:jc w:val="left"/>
      </w:pPr>
    </w:p>
    <w:p w14:paraId="34852079" w14:textId="3E51C738" w:rsidR="007A2A64" w:rsidRDefault="007A2A64" w:rsidP="00EB117D">
      <w:pPr>
        <w:jc w:val="left"/>
      </w:pPr>
      <w:r>
        <w:t>Aus Gründen der besseren Lesbarkeit verwenden wir in unseren Texten die männliche Form/das generische Maskulinum. Entsprechende Begriffe gelten selbstverständlich für alle Geschlechter und enthalten kein Wertung.</w:t>
      </w:r>
    </w:p>
    <w:p w14:paraId="5ACFFBD7" w14:textId="77777777" w:rsidR="007A2A64" w:rsidRPr="007A2A64" w:rsidRDefault="007A2A64" w:rsidP="00EB117D">
      <w:pPr>
        <w:jc w:val="left"/>
        <w:rPr>
          <w:rFonts w:cs="Arial"/>
          <w:bCs/>
          <w:szCs w:val="22"/>
        </w:rPr>
      </w:pPr>
    </w:p>
    <w:p w14:paraId="4B63620F" w14:textId="77777777" w:rsidR="007A2A64" w:rsidRPr="007A2A64" w:rsidRDefault="007A2A64" w:rsidP="00B92DEF">
      <w:pPr>
        <w:jc w:val="left"/>
        <w:rPr>
          <w:rFonts w:cs="Arial"/>
          <w:bCs/>
          <w:szCs w:val="22"/>
        </w:rPr>
      </w:pPr>
    </w:p>
    <w:p w14:paraId="536A24F0" w14:textId="77777777" w:rsidR="006B09E9" w:rsidRPr="00F815A9" w:rsidRDefault="006B09E9" w:rsidP="00F815A9">
      <w:pPr>
        <w:pStyle w:val="Textkrper3"/>
        <w:spacing w:line="240" w:lineRule="auto"/>
        <w:rPr>
          <w:b/>
          <w:sz w:val="28"/>
          <w:szCs w:val="28"/>
        </w:rPr>
      </w:pPr>
      <w:r w:rsidRPr="00F815A9">
        <w:rPr>
          <w:b/>
          <w:sz w:val="28"/>
          <w:szCs w:val="28"/>
        </w:rPr>
        <w:t>Makler</w:t>
      </w:r>
      <w:r w:rsidR="00805C74" w:rsidRPr="00F815A9">
        <w:rPr>
          <w:b/>
          <w:sz w:val="28"/>
          <w:szCs w:val="28"/>
        </w:rPr>
        <w:t>vertrag</w:t>
      </w:r>
    </w:p>
    <w:p w14:paraId="2A17E3D4" w14:textId="77777777" w:rsidR="006B09E9" w:rsidRPr="000A14CB" w:rsidRDefault="006B09E9" w:rsidP="00B92DEF">
      <w:pPr>
        <w:jc w:val="left"/>
        <w:rPr>
          <w:rFonts w:cs="Arial"/>
          <w:b/>
          <w:szCs w:val="22"/>
        </w:rPr>
      </w:pPr>
      <w:r w:rsidRPr="000A14CB">
        <w:rPr>
          <w:rFonts w:cs="Arial"/>
          <w:b/>
          <w:szCs w:val="22"/>
        </w:rPr>
        <w:t>Vertragsparteien/Vertragsgegenstand</w:t>
      </w:r>
    </w:p>
    <w:p w14:paraId="718C1148" w14:textId="77777777" w:rsidR="006676FA" w:rsidRPr="000A14CB" w:rsidRDefault="006676FA" w:rsidP="00B92DEF">
      <w:pPr>
        <w:jc w:val="left"/>
        <w:rPr>
          <w:rFonts w:cs="Arial"/>
          <w:szCs w:val="22"/>
        </w:rPr>
      </w:pPr>
    </w:p>
    <w:p w14:paraId="257FEC1F" w14:textId="77777777" w:rsidR="006B09E9" w:rsidRDefault="006B09E9" w:rsidP="00B92DEF">
      <w:pPr>
        <w:jc w:val="left"/>
        <w:rPr>
          <w:rFonts w:cs="Arial"/>
          <w:szCs w:val="22"/>
        </w:rPr>
      </w:pPr>
      <w:r w:rsidRPr="000A14CB">
        <w:rPr>
          <w:rFonts w:cs="Arial"/>
          <w:szCs w:val="22"/>
        </w:rPr>
        <w:t xml:space="preserve">Der Kunde (Name, Anschrift) beauftragt den Makler (Name, Anschrift), Versicherungsverträge zu vermitteln. </w:t>
      </w:r>
      <w:r w:rsidR="001161D4">
        <w:rPr>
          <w:rFonts w:cs="Arial"/>
          <w:szCs w:val="22"/>
        </w:rPr>
        <w:t xml:space="preserve">Der Auftrag </w:t>
      </w:r>
      <w:r w:rsidR="00FB458C">
        <w:rPr>
          <w:rFonts w:cs="Arial"/>
          <w:szCs w:val="22"/>
        </w:rPr>
        <w:t>beinhaltet</w:t>
      </w:r>
      <w:r w:rsidR="001161D4">
        <w:rPr>
          <w:rFonts w:cs="Arial"/>
          <w:szCs w:val="22"/>
        </w:rPr>
        <w:t xml:space="preserve"> das Mitwirken bei der Verwaltung und der Erfüllung von Versicherungsverträgen</w:t>
      </w:r>
      <w:r w:rsidRPr="000A14CB">
        <w:rPr>
          <w:rFonts w:cs="Arial"/>
          <w:szCs w:val="22"/>
        </w:rPr>
        <w:t>, insbesondere im Schadensfall.</w:t>
      </w:r>
    </w:p>
    <w:p w14:paraId="37922992" w14:textId="77777777" w:rsidR="0034777B" w:rsidRDefault="0034777B" w:rsidP="00B92DEF">
      <w:pPr>
        <w:jc w:val="left"/>
        <w:rPr>
          <w:rFonts w:cs="Arial"/>
          <w:szCs w:val="22"/>
        </w:rPr>
      </w:pPr>
    </w:p>
    <w:p w14:paraId="7D518460" w14:textId="77777777" w:rsidR="0034777B" w:rsidRDefault="001161D4" w:rsidP="00B92DEF">
      <w:pPr>
        <w:jc w:val="left"/>
        <w:rPr>
          <w:rFonts w:cs="Arial"/>
          <w:szCs w:val="22"/>
        </w:rPr>
      </w:pPr>
      <w:r>
        <w:rPr>
          <w:rFonts w:cs="Arial"/>
          <w:szCs w:val="22"/>
        </w:rPr>
        <w:t>Die</w:t>
      </w:r>
      <w:r w:rsidR="00FB458C">
        <w:rPr>
          <w:rFonts w:cs="Arial"/>
          <w:szCs w:val="22"/>
        </w:rPr>
        <w:t>s</w:t>
      </w:r>
      <w:r w:rsidR="00EF4478">
        <w:rPr>
          <w:rFonts w:cs="Arial"/>
          <w:szCs w:val="22"/>
        </w:rPr>
        <w:t xml:space="preserve"> umfasst auch / nicht</w:t>
      </w:r>
      <w:r w:rsidR="00EF4478">
        <w:rPr>
          <w:rStyle w:val="Funotenzeichen"/>
          <w:rFonts w:cs="Arial"/>
          <w:szCs w:val="22"/>
        </w:rPr>
        <w:footnoteReference w:id="1"/>
      </w:r>
      <w:r w:rsidR="00EF4478">
        <w:rPr>
          <w:rFonts w:cs="Arial"/>
          <w:szCs w:val="22"/>
        </w:rPr>
        <w:t xml:space="preserve"> die regelmäßige Beurteilung der Eignung von Versicherungsanlageprodukten.</w:t>
      </w:r>
    </w:p>
    <w:p w14:paraId="3B505BE0" w14:textId="77777777" w:rsidR="00E76906" w:rsidRDefault="00E76906" w:rsidP="00B92DEF">
      <w:pPr>
        <w:jc w:val="left"/>
        <w:rPr>
          <w:rFonts w:cs="Arial"/>
          <w:szCs w:val="22"/>
        </w:rPr>
      </w:pPr>
    </w:p>
    <w:p w14:paraId="14E163BD" w14:textId="77777777" w:rsidR="002A6F0D" w:rsidRDefault="002A6F0D" w:rsidP="00B92DEF">
      <w:pPr>
        <w:jc w:val="left"/>
        <w:rPr>
          <w:rFonts w:cs="Arial"/>
          <w:szCs w:val="22"/>
        </w:rPr>
      </w:pPr>
    </w:p>
    <w:p w14:paraId="25BC0874" w14:textId="77777777" w:rsidR="00E76906" w:rsidRPr="006B755C" w:rsidRDefault="00795B56" w:rsidP="00E76906">
      <w:pPr>
        <w:pStyle w:val="Textkrper3"/>
        <w:spacing w:line="240" w:lineRule="auto"/>
        <w:rPr>
          <w:b/>
          <w:sz w:val="22"/>
          <w:szCs w:val="22"/>
        </w:rPr>
      </w:pPr>
      <w:r>
        <w:rPr>
          <w:b/>
          <w:sz w:val="22"/>
          <w:szCs w:val="22"/>
        </w:rPr>
        <w:t>Vertragsumfang</w:t>
      </w:r>
    </w:p>
    <w:p w14:paraId="399D05DC" w14:textId="77777777" w:rsidR="00E76906" w:rsidRPr="00A04A06" w:rsidRDefault="00E76906" w:rsidP="00E76906">
      <w:pPr>
        <w:tabs>
          <w:tab w:val="left" w:pos="2244"/>
          <w:tab w:val="left" w:pos="2618"/>
          <w:tab w:val="left" w:pos="4678"/>
          <w:tab w:val="right" w:pos="8976"/>
        </w:tabs>
        <w:rPr>
          <w:rFonts w:cs="Arial"/>
          <w:szCs w:val="22"/>
        </w:rPr>
      </w:pPr>
      <w:r w:rsidRPr="00A04A06">
        <w:rPr>
          <w:rFonts w:cs="Arial"/>
          <w:szCs w:val="22"/>
        </w:rPr>
        <w:t>Der vorliegende Vertrag gilt:</w:t>
      </w:r>
    </w:p>
    <w:p w14:paraId="57F699D8" w14:textId="77777777" w:rsidR="00E76906" w:rsidRPr="00A04A06" w:rsidRDefault="00E76906" w:rsidP="00E76906">
      <w:pPr>
        <w:tabs>
          <w:tab w:val="left" w:pos="2244"/>
          <w:tab w:val="left" w:pos="2618"/>
          <w:tab w:val="left" w:pos="4678"/>
          <w:tab w:val="right" w:pos="8976"/>
        </w:tabs>
        <w:rPr>
          <w:rFonts w:cs="Arial"/>
          <w:szCs w:val="22"/>
        </w:rPr>
      </w:pPr>
    </w:p>
    <w:p w14:paraId="2A78D3E7" w14:textId="77777777" w:rsidR="00E76906" w:rsidRPr="00A04A06" w:rsidRDefault="00E76906" w:rsidP="00E76906">
      <w:pPr>
        <w:widowControl w:val="0"/>
        <w:tabs>
          <w:tab w:val="left" w:pos="561"/>
        </w:tabs>
        <w:ind w:left="794" w:hanging="794"/>
        <w:rPr>
          <w:rFonts w:cs="Arial"/>
          <w:snapToGrid w:val="0"/>
          <w:szCs w:val="22"/>
        </w:rPr>
      </w:pPr>
      <w:r w:rsidRPr="00A04A06">
        <w:rPr>
          <w:rFonts w:cs="Arial"/>
          <w:snapToGrid w:val="0"/>
          <w:szCs w:val="22"/>
        </w:rPr>
        <w:tab/>
      </w:r>
      <w:r w:rsidRPr="00A04A06">
        <w:rPr>
          <w:rFonts w:cs="Arial"/>
          <w:snapToGrid w:val="0"/>
          <w:szCs w:val="22"/>
        </w:rPr>
        <w:sym w:font="Wingdings" w:char="F06F"/>
      </w:r>
      <w:r w:rsidRPr="00A04A06">
        <w:rPr>
          <w:rFonts w:cs="Arial"/>
          <w:snapToGrid w:val="0"/>
          <w:szCs w:val="22"/>
        </w:rPr>
        <w:t xml:space="preserve"> für alle Versicherungsverträge des Kunden.</w:t>
      </w:r>
    </w:p>
    <w:p w14:paraId="786615FD" w14:textId="77777777" w:rsidR="0041370F" w:rsidRDefault="0041370F" w:rsidP="00E76906">
      <w:pPr>
        <w:tabs>
          <w:tab w:val="left" w:pos="2244"/>
          <w:tab w:val="left" w:pos="2618"/>
          <w:tab w:val="left" w:pos="4678"/>
          <w:tab w:val="right" w:pos="8976"/>
        </w:tabs>
        <w:rPr>
          <w:rFonts w:cs="Arial"/>
          <w:szCs w:val="22"/>
        </w:rPr>
      </w:pPr>
    </w:p>
    <w:p w14:paraId="7F667947" w14:textId="77777777" w:rsidR="00603AA5" w:rsidRDefault="00603AA5" w:rsidP="00E76906">
      <w:pPr>
        <w:tabs>
          <w:tab w:val="left" w:pos="2244"/>
          <w:tab w:val="left" w:pos="2618"/>
          <w:tab w:val="left" w:pos="4678"/>
          <w:tab w:val="right" w:pos="8976"/>
        </w:tabs>
        <w:rPr>
          <w:rFonts w:cs="Arial"/>
          <w:szCs w:val="22"/>
        </w:rPr>
      </w:pPr>
      <w:r>
        <w:rPr>
          <w:rFonts w:cs="Arial"/>
          <w:szCs w:val="22"/>
        </w:rPr>
        <w:t>oder</w:t>
      </w:r>
    </w:p>
    <w:p w14:paraId="19478810" w14:textId="77777777" w:rsidR="00603AA5" w:rsidRDefault="00603AA5" w:rsidP="00E76906">
      <w:pPr>
        <w:tabs>
          <w:tab w:val="left" w:pos="2244"/>
          <w:tab w:val="left" w:pos="2618"/>
          <w:tab w:val="left" w:pos="4678"/>
          <w:tab w:val="right" w:pos="8976"/>
        </w:tabs>
        <w:rPr>
          <w:rFonts w:cs="Arial"/>
          <w:szCs w:val="22"/>
        </w:rPr>
      </w:pPr>
    </w:p>
    <w:p w14:paraId="683B9D9C" w14:textId="77777777" w:rsidR="00603AA5" w:rsidRPr="00A04A06" w:rsidRDefault="00603AA5" w:rsidP="00603AA5">
      <w:pPr>
        <w:widowControl w:val="0"/>
        <w:tabs>
          <w:tab w:val="left" w:pos="561"/>
        </w:tabs>
        <w:ind w:left="794" w:hanging="794"/>
        <w:rPr>
          <w:rFonts w:cs="Arial"/>
          <w:snapToGrid w:val="0"/>
          <w:szCs w:val="22"/>
        </w:rPr>
      </w:pPr>
      <w:r w:rsidRPr="00A04A06">
        <w:rPr>
          <w:rFonts w:cs="Arial"/>
          <w:snapToGrid w:val="0"/>
          <w:szCs w:val="22"/>
        </w:rPr>
        <w:tab/>
      </w:r>
      <w:r w:rsidRPr="00A04A06">
        <w:rPr>
          <w:rFonts w:cs="Arial"/>
          <w:snapToGrid w:val="0"/>
          <w:szCs w:val="22"/>
        </w:rPr>
        <w:sym w:font="Wingdings" w:char="F06F"/>
      </w:r>
      <w:r w:rsidRPr="00A04A06">
        <w:rPr>
          <w:rFonts w:cs="Arial"/>
          <w:snapToGrid w:val="0"/>
          <w:szCs w:val="22"/>
        </w:rPr>
        <w:t xml:space="preserve"> für alle </w:t>
      </w:r>
      <w:r w:rsidR="00AB496E">
        <w:rPr>
          <w:rFonts w:cs="Arial"/>
          <w:snapToGrid w:val="0"/>
          <w:szCs w:val="22"/>
        </w:rPr>
        <w:t xml:space="preserve">vom Makler selbst vermittelten </w:t>
      </w:r>
      <w:r w:rsidRPr="00A04A06">
        <w:rPr>
          <w:rFonts w:cs="Arial"/>
          <w:snapToGrid w:val="0"/>
          <w:szCs w:val="22"/>
        </w:rPr>
        <w:t>Versicherungsverträge des Kunden.</w:t>
      </w:r>
    </w:p>
    <w:p w14:paraId="521A54AB" w14:textId="77777777" w:rsidR="0041370F" w:rsidRDefault="0041370F" w:rsidP="00E76906">
      <w:pPr>
        <w:tabs>
          <w:tab w:val="left" w:pos="2244"/>
          <w:tab w:val="left" w:pos="2618"/>
          <w:tab w:val="left" w:pos="4678"/>
          <w:tab w:val="right" w:pos="8976"/>
        </w:tabs>
        <w:rPr>
          <w:rFonts w:cs="Arial"/>
          <w:szCs w:val="22"/>
        </w:rPr>
      </w:pPr>
    </w:p>
    <w:p w14:paraId="572F0CA5" w14:textId="77777777" w:rsidR="00AB496E" w:rsidRDefault="00AB496E" w:rsidP="00E76906">
      <w:pPr>
        <w:tabs>
          <w:tab w:val="left" w:pos="2244"/>
          <w:tab w:val="left" w:pos="2618"/>
          <w:tab w:val="left" w:pos="4678"/>
          <w:tab w:val="right" w:pos="8976"/>
        </w:tabs>
        <w:rPr>
          <w:rFonts w:cs="Arial"/>
          <w:szCs w:val="22"/>
        </w:rPr>
      </w:pPr>
      <w:r>
        <w:rPr>
          <w:rFonts w:cs="Arial"/>
          <w:szCs w:val="22"/>
        </w:rPr>
        <w:t>Weitere Einschränkungen:</w:t>
      </w:r>
    </w:p>
    <w:p w14:paraId="4304FEB1" w14:textId="77777777" w:rsidR="00AB496E" w:rsidRPr="00A04A06" w:rsidRDefault="00AB496E" w:rsidP="00E76906">
      <w:pPr>
        <w:tabs>
          <w:tab w:val="left" w:pos="2244"/>
          <w:tab w:val="left" w:pos="2618"/>
          <w:tab w:val="left" w:pos="4678"/>
          <w:tab w:val="right" w:pos="8976"/>
        </w:tabs>
        <w:rPr>
          <w:rFonts w:cs="Arial"/>
          <w:szCs w:val="22"/>
        </w:rPr>
      </w:pPr>
    </w:p>
    <w:p w14:paraId="31ABA398" w14:textId="77777777" w:rsidR="00E76906" w:rsidRPr="00A04A06" w:rsidRDefault="00E76906" w:rsidP="00E76906">
      <w:pPr>
        <w:widowControl w:val="0"/>
        <w:tabs>
          <w:tab w:val="left" w:pos="561"/>
        </w:tabs>
        <w:ind w:left="794" w:hanging="794"/>
        <w:rPr>
          <w:rFonts w:cs="Arial"/>
          <w:snapToGrid w:val="0"/>
          <w:szCs w:val="22"/>
        </w:rPr>
      </w:pPr>
      <w:r w:rsidRPr="00A04A06">
        <w:rPr>
          <w:rFonts w:cs="Arial"/>
          <w:snapToGrid w:val="0"/>
          <w:szCs w:val="22"/>
        </w:rPr>
        <w:tab/>
      </w:r>
      <w:r w:rsidRPr="00A04A06">
        <w:rPr>
          <w:rFonts w:cs="Arial"/>
          <w:snapToGrid w:val="0"/>
          <w:szCs w:val="22"/>
        </w:rPr>
        <w:sym w:font="Wingdings" w:char="F06F"/>
      </w:r>
      <w:r w:rsidRPr="00A04A06">
        <w:rPr>
          <w:rFonts w:cs="Arial"/>
          <w:snapToGrid w:val="0"/>
          <w:szCs w:val="22"/>
        </w:rPr>
        <w:t xml:space="preserve"> </w:t>
      </w:r>
      <w:r w:rsidRPr="00A04A06">
        <w:rPr>
          <w:rFonts w:cs="Arial"/>
          <w:b/>
          <w:snapToGrid w:val="0"/>
          <w:szCs w:val="22"/>
        </w:rPr>
        <w:t>mit Ausnahme der nachstehend abschließend aufgeführten Verträge / Sparten</w:t>
      </w:r>
      <w:r w:rsidRPr="00A04A06">
        <w:rPr>
          <w:rFonts w:cs="Arial"/>
          <w:snapToGrid w:val="0"/>
          <w:szCs w:val="22"/>
        </w:rPr>
        <w:t>.</w:t>
      </w:r>
    </w:p>
    <w:p w14:paraId="20AFC926" w14:textId="77777777" w:rsidR="00E76906" w:rsidRDefault="00E76906" w:rsidP="00E76906">
      <w:pPr>
        <w:tabs>
          <w:tab w:val="left" w:pos="2244"/>
          <w:tab w:val="left" w:pos="2618"/>
          <w:tab w:val="left" w:pos="4678"/>
          <w:tab w:val="right" w:pos="8976"/>
        </w:tabs>
        <w:rPr>
          <w:rFonts w:cs="Arial"/>
          <w:szCs w:val="22"/>
        </w:rPr>
      </w:pPr>
    </w:p>
    <w:p w14:paraId="12C482DC" w14:textId="77777777" w:rsidR="00A04A06" w:rsidRPr="00A04A06" w:rsidRDefault="00A04A06" w:rsidP="00A04A06">
      <w:pPr>
        <w:widowControl w:val="0"/>
        <w:tabs>
          <w:tab w:val="left" w:pos="561"/>
        </w:tabs>
        <w:ind w:left="794" w:hanging="794"/>
        <w:rPr>
          <w:rFonts w:cs="Arial"/>
          <w:snapToGrid w:val="0"/>
          <w:szCs w:val="22"/>
        </w:rPr>
      </w:pPr>
      <w:r>
        <w:rPr>
          <w:rFonts w:cs="Arial"/>
          <w:snapToGrid w:val="0"/>
          <w:szCs w:val="22"/>
        </w:rPr>
        <w:tab/>
      </w:r>
      <w:r w:rsidR="00603AA5">
        <w:rPr>
          <w:rFonts w:cs="Arial"/>
          <w:snapToGrid w:val="0"/>
          <w:szCs w:val="22"/>
        </w:rPr>
        <w:t>auszunehmende Versicherungsverträge</w:t>
      </w:r>
      <w:r>
        <w:rPr>
          <w:rFonts w:cs="Arial"/>
          <w:snapToGrid w:val="0"/>
          <w:szCs w:val="22"/>
        </w:rPr>
        <w:t>:</w:t>
      </w:r>
    </w:p>
    <w:p w14:paraId="17DCF369" w14:textId="77777777" w:rsidR="00E76906" w:rsidRPr="00A04A06" w:rsidRDefault="00603AA5" w:rsidP="00E76906">
      <w:pPr>
        <w:widowControl w:val="0"/>
        <w:tabs>
          <w:tab w:val="left" w:pos="561"/>
        </w:tabs>
        <w:ind w:left="794" w:hanging="794"/>
        <w:rPr>
          <w:rFonts w:cs="Arial"/>
          <w:snapToGrid w:val="0"/>
          <w:szCs w:val="22"/>
        </w:rPr>
      </w:pPr>
      <w:r>
        <w:rPr>
          <w:rFonts w:cs="Arial"/>
          <w:snapToGrid w:val="0"/>
          <w:szCs w:val="22"/>
        </w:rPr>
        <w:tab/>
      </w:r>
      <w:r w:rsidR="00E76906" w:rsidRPr="00A04A06">
        <w:rPr>
          <w:rFonts w:cs="Arial"/>
          <w:snapToGrid w:val="0"/>
          <w:szCs w:val="22"/>
        </w:rPr>
        <w:t>_________________________________________________</w:t>
      </w:r>
      <w:r w:rsidR="00A04A06">
        <w:rPr>
          <w:rFonts w:cs="Arial"/>
          <w:snapToGrid w:val="0"/>
          <w:szCs w:val="22"/>
        </w:rPr>
        <w:t>_______________</w:t>
      </w:r>
      <w:r>
        <w:rPr>
          <w:rFonts w:cs="Arial"/>
          <w:snapToGrid w:val="0"/>
          <w:szCs w:val="22"/>
        </w:rPr>
        <w:t>____</w:t>
      </w:r>
    </w:p>
    <w:p w14:paraId="1272D38C" w14:textId="77777777" w:rsidR="00E76906" w:rsidRDefault="00E76906" w:rsidP="00E76906">
      <w:pPr>
        <w:tabs>
          <w:tab w:val="left" w:pos="2244"/>
          <w:tab w:val="left" w:pos="2618"/>
          <w:tab w:val="left" w:pos="4678"/>
          <w:tab w:val="right" w:pos="8976"/>
        </w:tabs>
        <w:rPr>
          <w:rFonts w:cs="Arial"/>
          <w:szCs w:val="22"/>
        </w:rPr>
      </w:pPr>
    </w:p>
    <w:p w14:paraId="5A2A5183" w14:textId="77777777" w:rsidR="00603AA5" w:rsidRPr="00603AA5" w:rsidRDefault="00603AA5" w:rsidP="00603AA5">
      <w:pPr>
        <w:widowControl w:val="0"/>
        <w:tabs>
          <w:tab w:val="left" w:pos="561"/>
        </w:tabs>
        <w:ind w:left="794" w:hanging="794"/>
        <w:rPr>
          <w:rFonts w:cs="Arial"/>
          <w:snapToGrid w:val="0"/>
          <w:szCs w:val="22"/>
        </w:rPr>
      </w:pPr>
      <w:r>
        <w:rPr>
          <w:rFonts w:cs="Arial"/>
          <w:snapToGrid w:val="0"/>
          <w:szCs w:val="22"/>
        </w:rPr>
        <w:tab/>
      </w:r>
      <w:r w:rsidRPr="00603AA5">
        <w:rPr>
          <w:rFonts w:cs="Arial"/>
          <w:snapToGrid w:val="0"/>
          <w:szCs w:val="22"/>
        </w:rPr>
        <w:t>auszunehmende Sparten</w:t>
      </w:r>
      <w:r>
        <w:rPr>
          <w:rFonts w:cs="Arial"/>
          <w:snapToGrid w:val="0"/>
          <w:szCs w:val="22"/>
        </w:rPr>
        <w:t>:</w:t>
      </w:r>
    </w:p>
    <w:p w14:paraId="2485FC83" w14:textId="77777777" w:rsidR="00603AA5" w:rsidRPr="00A04A06" w:rsidRDefault="00603AA5" w:rsidP="00E76906">
      <w:pPr>
        <w:tabs>
          <w:tab w:val="left" w:pos="2244"/>
          <w:tab w:val="left" w:pos="2618"/>
          <w:tab w:val="left" w:pos="4678"/>
          <w:tab w:val="right" w:pos="8976"/>
        </w:tabs>
        <w:rPr>
          <w:rFonts w:cs="Arial"/>
          <w:szCs w:val="22"/>
        </w:rPr>
      </w:pPr>
    </w:p>
    <w:p w14:paraId="4334F2F9" w14:textId="77777777" w:rsidR="00E76906" w:rsidRPr="00A04A06" w:rsidRDefault="00603AA5" w:rsidP="00E76906">
      <w:pPr>
        <w:widowControl w:val="0"/>
        <w:tabs>
          <w:tab w:val="left" w:pos="561"/>
          <w:tab w:val="left" w:pos="1985"/>
          <w:tab w:val="left" w:pos="5103"/>
        </w:tabs>
        <w:ind w:left="794" w:hanging="794"/>
        <w:rPr>
          <w:rFonts w:cs="Arial"/>
          <w:snapToGrid w:val="0"/>
          <w:szCs w:val="22"/>
        </w:rPr>
      </w:pPr>
      <w:r>
        <w:rPr>
          <w:rFonts w:cs="Arial"/>
          <w:snapToGrid w:val="0"/>
          <w:szCs w:val="22"/>
        </w:rPr>
        <w:tab/>
      </w:r>
      <w:r>
        <w:rPr>
          <w:rFonts w:cs="Arial"/>
          <w:snapToGrid w:val="0"/>
          <w:szCs w:val="22"/>
        </w:rPr>
        <w:tab/>
      </w:r>
      <w:r w:rsidR="00E76906" w:rsidRPr="00A04A06">
        <w:rPr>
          <w:rFonts w:cs="Arial"/>
          <w:snapToGrid w:val="0"/>
          <w:szCs w:val="22"/>
        </w:rPr>
        <w:tab/>
      </w:r>
      <w:r w:rsidR="00E76906" w:rsidRPr="00A04A06">
        <w:rPr>
          <w:rFonts w:cs="Arial"/>
          <w:snapToGrid w:val="0"/>
          <w:szCs w:val="22"/>
        </w:rPr>
        <w:sym w:font="Wingdings" w:char="F06F"/>
      </w:r>
      <w:r w:rsidR="00E76906" w:rsidRPr="00A04A06">
        <w:rPr>
          <w:rFonts w:cs="Arial"/>
          <w:snapToGrid w:val="0"/>
          <w:szCs w:val="22"/>
        </w:rPr>
        <w:t xml:space="preserve"> Lebensversicherung</w:t>
      </w:r>
      <w:r w:rsidR="00E76906" w:rsidRPr="00A04A06">
        <w:rPr>
          <w:rFonts w:cs="Arial"/>
          <w:snapToGrid w:val="0"/>
          <w:szCs w:val="22"/>
        </w:rPr>
        <w:tab/>
      </w:r>
      <w:r w:rsidR="00E76906" w:rsidRPr="00A04A06">
        <w:rPr>
          <w:rFonts w:cs="Arial"/>
          <w:snapToGrid w:val="0"/>
          <w:szCs w:val="22"/>
        </w:rPr>
        <w:sym w:font="Wingdings" w:char="F06F"/>
      </w:r>
      <w:r w:rsidR="00E76906" w:rsidRPr="00A04A06">
        <w:rPr>
          <w:rFonts w:cs="Arial"/>
          <w:snapToGrid w:val="0"/>
          <w:szCs w:val="22"/>
        </w:rPr>
        <w:t xml:space="preserve"> Betriebliche Altersvorsorge</w:t>
      </w:r>
    </w:p>
    <w:p w14:paraId="615A1BF0" w14:textId="77777777" w:rsidR="00E76906" w:rsidRPr="00A04A06" w:rsidRDefault="00E76906" w:rsidP="00E76906">
      <w:pPr>
        <w:tabs>
          <w:tab w:val="left" w:pos="2244"/>
          <w:tab w:val="left" w:pos="2618"/>
          <w:tab w:val="left" w:pos="4678"/>
          <w:tab w:val="right" w:pos="8976"/>
        </w:tabs>
        <w:rPr>
          <w:rFonts w:cs="Arial"/>
          <w:szCs w:val="22"/>
        </w:rPr>
      </w:pPr>
    </w:p>
    <w:p w14:paraId="58EEAC17" w14:textId="77777777" w:rsidR="00E76906" w:rsidRDefault="00E76906" w:rsidP="00E76906">
      <w:pPr>
        <w:tabs>
          <w:tab w:val="left" w:pos="1985"/>
          <w:tab w:val="left" w:pos="2244"/>
          <w:tab w:val="left" w:pos="2618"/>
          <w:tab w:val="left" w:pos="4678"/>
          <w:tab w:val="left" w:pos="5103"/>
          <w:tab w:val="right" w:pos="8976"/>
        </w:tabs>
        <w:rPr>
          <w:rFonts w:cs="Arial"/>
          <w:szCs w:val="22"/>
        </w:rPr>
      </w:pPr>
      <w:r w:rsidRPr="00A04A06">
        <w:rPr>
          <w:rFonts w:cs="Arial"/>
          <w:snapToGrid w:val="0"/>
          <w:szCs w:val="22"/>
        </w:rPr>
        <w:tab/>
      </w:r>
      <w:r w:rsidRPr="00A04A06">
        <w:rPr>
          <w:rFonts w:cs="Arial"/>
          <w:snapToGrid w:val="0"/>
          <w:szCs w:val="22"/>
        </w:rPr>
        <w:sym w:font="Wingdings" w:char="F06F"/>
      </w:r>
      <w:r w:rsidRPr="00A04A06">
        <w:rPr>
          <w:rFonts w:cs="Arial"/>
          <w:snapToGrid w:val="0"/>
          <w:szCs w:val="22"/>
        </w:rPr>
        <w:t xml:space="preserve"> </w:t>
      </w:r>
      <w:r w:rsidRPr="00A04A06">
        <w:rPr>
          <w:rFonts w:cs="Arial"/>
          <w:szCs w:val="22"/>
        </w:rPr>
        <w:t>Sachversicherung</w:t>
      </w:r>
      <w:r w:rsidRPr="00A04A06">
        <w:rPr>
          <w:rFonts w:cs="Arial"/>
          <w:szCs w:val="22"/>
        </w:rPr>
        <w:tab/>
      </w:r>
      <w:r w:rsidRPr="00A04A06">
        <w:rPr>
          <w:rFonts w:cs="Arial"/>
          <w:szCs w:val="22"/>
        </w:rPr>
        <w:tab/>
      </w:r>
      <w:r w:rsidRPr="00A04A06">
        <w:rPr>
          <w:rFonts w:cs="Arial"/>
          <w:snapToGrid w:val="0"/>
          <w:szCs w:val="22"/>
        </w:rPr>
        <w:sym w:font="Wingdings" w:char="F06F"/>
      </w:r>
      <w:r w:rsidRPr="00A04A06">
        <w:rPr>
          <w:rFonts w:cs="Arial"/>
          <w:snapToGrid w:val="0"/>
          <w:szCs w:val="22"/>
        </w:rPr>
        <w:t xml:space="preserve"> </w:t>
      </w:r>
      <w:r w:rsidRPr="00A04A06">
        <w:rPr>
          <w:rFonts w:cs="Arial"/>
          <w:szCs w:val="22"/>
        </w:rPr>
        <w:t>Krankenversicherung</w:t>
      </w:r>
    </w:p>
    <w:p w14:paraId="574CC964" w14:textId="77777777" w:rsidR="00A04A06" w:rsidRDefault="00A04A06" w:rsidP="00E76906">
      <w:pPr>
        <w:tabs>
          <w:tab w:val="left" w:pos="1985"/>
          <w:tab w:val="left" w:pos="2244"/>
          <w:tab w:val="left" w:pos="2618"/>
          <w:tab w:val="left" w:pos="4678"/>
          <w:tab w:val="left" w:pos="5103"/>
          <w:tab w:val="right" w:pos="8976"/>
        </w:tabs>
        <w:rPr>
          <w:rFonts w:cs="Arial"/>
          <w:szCs w:val="22"/>
        </w:rPr>
      </w:pPr>
    </w:p>
    <w:p w14:paraId="37D6F5C4" w14:textId="77777777" w:rsidR="00A04A06" w:rsidRPr="00A04A06" w:rsidRDefault="00A04A06" w:rsidP="00A04A06">
      <w:pPr>
        <w:tabs>
          <w:tab w:val="left" w:pos="1985"/>
          <w:tab w:val="left" w:pos="2244"/>
          <w:tab w:val="left" w:pos="2618"/>
          <w:tab w:val="left" w:pos="4678"/>
          <w:tab w:val="left" w:pos="5103"/>
          <w:tab w:val="right" w:pos="8976"/>
        </w:tabs>
        <w:rPr>
          <w:rFonts w:cs="Arial"/>
          <w:snapToGrid w:val="0"/>
          <w:szCs w:val="22"/>
        </w:rPr>
      </w:pPr>
      <w:r>
        <w:rPr>
          <w:rFonts w:cs="Arial"/>
          <w:snapToGrid w:val="0"/>
          <w:szCs w:val="22"/>
        </w:rPr>
        <w:tab/>
      </w:r>
      <w:r w:rsidR="00603AA5" w:rsidRPr="00A04A06">
        <w:rPr>
          <w:rFonts w:cs="Arial"/>
          <w:snapToGrid w:val="0"/>
          <w:szCs w:val="22"/>
        </w:rPr>
        <w:sym w:font="Wingdings" w:char="F06F"/>
      </w:r>
      <w:r w:rsidR="00603AA5">
        <w:rPr>
          <w:rFonts w:cs="Arial"/>
          <w:snapToGrid w:val="0"/>
          <w:szCs w:val="22"/>
        </w:rPr>
        <w:t xml:space="preserve"> </w:t>
      </w:r>
      <w:r>
        <w:rPr>
          <w:rFonts w:cs="Arial"/>
          <w:snapToGrid w:val="0"/>
          <w:szCs w:val="22"/>
        </w:rPr>
        <w:t>Sonstige:</w:t>
      </w:r>
    </w:p>
    <w:p w14:paraId="4C9F4462" w14:textId="77777777" w:rsidR="00A04A06" w:rsidRPr="00A04A06" w:rsidRDefault="00A04A06" w:rsidP="00E76906">
      <w:pPr>
        <w:tabs>
          <w:tab w:val="left" w:pos="1985"/>
          <w:tab w:val="left" w:pos="2244"/>
          <w:tab w:val="left" w:pos="2618"/>
          <w:tab w:val="left" w:pos="4678"/>
          <w:tab w:val="left" w:pos="5103"/>
          <w:tab w:val="right" w:pos="8976"/>
        </w:tabs>
        <w:rPr>
          <w:rFonts w:cs="Arial"/>
          <w:szCs w:val="22"/>
        </w:rPr>
      </w:pPr>
    </w:p>
    <w:p w14:paraId="150F37D3" w14:textId="77777777" w:rsidR="00E76906" w:rsidRPr="00A04A06" w:rsidRDefault="00E76906" w:rsidP="00E76906">
      <w:pPr>
        <w:tabs>
          <w:tab w:val="left" w:pos="1985"/>
          <w:tab w:val="left" w:pos="2244"/>
          <w:tab w:val="left" w:pos="2618"/>
          <w:tab w:val="left" w:pos="3261"/>
          <w:tab w:val="left" w:pos="4678"/>
          <w:tab w:val="left" w:pos="5103"/>
          <w:tab w:val="right" w:pos="8976"/>
        </w:tabs>
        <w:rPr>
          <w:rFonts w:cs="Arial"/>
          <w:szCs w:val="22"/>
        </w:rPr>
      </w:pPr>
      <w:r w:rsidRPr="00A04A06">
        <w:rPr>
          <w:rFonts w:cs="Arial"/>
          <w:szCs w:val="22"/>
        </w:rPr>
        <w:tab/>
        <w:t>__________________________________________________</w:t>
      </w:r>
    </w:p>
    <w:p w14:paraId="03DD536D" w14:textId="77777777" w:rsidR="00E76906" w:rsidRPr="00A04A06" w:rsidRDefault="00E76906" w:rsidP="00E76906">
      <w:pPr>
        <w:tabs>
          <w:tab w:val="left" w:pos="1985"/>
          <w:tab w:val="left" w:pos="2244"/>
          <w:tab w:val="left" w:pos="2618"/>
          <w:tab w:val="left" w:pos="3261"/>
          <w:tab w:val="left" w:pos="4678"/>
          <w:tab w:val="left" w:pos="5103"/>
          <w:tab w:val="right" w:pos="8976"/>
        </w:tabs>
        <w:rPr>
          <w:rFonts w:cs="Arial"/>
          <w:szCs w:val="22"/>
        </w:rPr>
      </w:pPr>
    </w:p>
    <w:p w14:paraId="5CD631CC" w14:textId="6BC9DC5F" w:rsidR="00E76906" w:rsidRPr="00A04A06" w:rsidRDefault="00E76906" w:rsidP="00E76906">
      <w:pPr>
        <w:tabs>
          <w:tab w:val="left" w:pos="1985"/>
          <w:tab w:val="left" w:pos="2244"/>
          <w:tab w:val="left" w:pos="2618"/>
          <w:tab w:val="left" w:pos="3261"/>
          <w:tab w:val="left" w:pos="4678"/>
          <w:tab w:val="left" w:pos="5103"/>
          <w:tab w:val="right" w:pos="8976"/>
        </w:tabs>
        <w:rPr>
          <w:rFonts w:cs="Arial"/>
          <w:szCs w:val="22"/>
        </w:rPr>
      </w:pPr>
      <w:r w:rsidRPr="00A04A06">
        <w:rPr>
          <w:rFonts w:cs="Arial"/>
          <w:szCs w:val="22"/>
        </w:rPr>
        <w:tab/>
        <w:t>__________________________________________________</w:t>
      </w:r>
    </w:p>
    <w:p w14:paraId="5F95AD26" w14:textId="77777777" w:rsidR="00E76906" w:rsidRPr="00A04A06" w:rsidRDefault="00E76906" w:rsidP="00E76906">
      <w:pPr>
        <w:tabs>
          <w:tab w:val="left" w:pos="1985"/>
          <w:tab w:val="left" w:pos="2244"/>
          <w:tab w:val="left" w:pos="2618"/>
          <w:tab w:val="left" w:pos="4678"/>
          <w:tab w:val="left" w:pos="5103"/>
          <w:tab w:val="right" w:pos="8976"/>
        </w:tabs>
        <w:rPr>
          <w:rFonts w:cs="Arial"/>
          <w:szCs w:val="22"/>
        </w:rPr>
      </w:pPr>
    </w:p>
    <w:p w14:paraId="00FED648" w14:textId="77777777" w:rsidR="00E76906" w:rsidRPr="00A04A06" w:rsidRDefault="00E76906" w:rsidP="00E76906">
      <w:pPr>
        <w:tabs>
          <w:tab w:val="left" w:pos="2244"/>
          <w:tab w:val="left" w:pos="2618"/>
          <w:tab w:val="left" w:pos="4678"/>
          <w:tab w:val="right" w:pos="8976"/>
        </w:tabs>
        <w:rPr>
          <w:rFonts w:cs="Arial"/>
          <w:b/>
          <w:szCs w:val="22"/>
        </w:rPr>
      </w:pPr>
      <w:r w:rsidRPr="00A04A06">
        <w:rPr>
          <w:rFonts w:cs="Arial"/>
          <w:b/>
          <w:szCs w:val="22"/>
        </w:rPr>
        <w:t xml:space="preserve">oder </w:t>
      </w:r>
    </w:p>
    <w:p w14:paraId="4B6F38A2" w14:textId="77777777" w:rsidR="00E76906" w:rsidRPr="00A04A06" w:rsidRDefault="00E76906" w:rsidP="00E76906">
      <w:pPr>
        <w:tabs>
          <w:tab w:val="left" w:pos="2244"/>
          <w:tab w:val="left" w:pos="2618"/>
          <w:tab w:val="left" w:pos="4678"/>
          <w:tab w:val="right" w:pos="8976"/>
        </w:tabs>
        <w:rPr>
          <w:rFonts w:cs="Arial"/>
          <w:szCs w:val="22"/>
        </w:rPr>
      </w:pPr>
    </w:p>
    <w:p w14:paraId="04DC8CB4" w14:textId="77777777" w:rsidR="00E76906" w:rsidRPr="00A04A06" w:rsidRDefault="00E76906" w:rsidP="00E76906">
      <w:pPr>
        <w:widowControl w:val="0"/>
        <w:tabs>
          <w:tab w:val="left" w:pos="561"/>
        </w:tabs>
        <w:ind w:left="794" w:hanging="794"/>
        <w:rPr>
          <w:rFonts w:cs="Arial"/>
          <w:snapToGrid w:val="0"/>
          <w:szCs w:val="22"/>
        </w:rPr>
      </w:pPr>
      <w:r w:rsidRPr="00A04A06">
        <w:rPr>
          <w:rFonts w:cs="Arial"/>
          <w:snapToGrid w:val="0"/>
          <w:szCs w:val="22"/>
        </w:rPr>
        <w:tab/>
      </w:r>
      <w:r w:rsidRPr="00A04A06">
        <w:rPr>
          <w:rFonts w:cs="Arial"/>
          <w:snapToGrid w:val="0"/>
          <w:szCs w:val="22"/>
        </w:rPr>
        <w:sym w:font="Wingdings" w:char="F06F"/>
      </w:r>
      <w:r w:rsidRPr="00A04A06">
        <w:rPr>
          <w:rFonts w:cs="Arial"/>
          <w:snapToGrid w:val="0"/>
          <w:szCs w:val="22"/>
        </w:rPr>
        <w:t xml:space="preserve"> </w:t>
      </w:r>
      <w:r w:rsidR="00E426C5" w:rsidRPr="00A04A06">
        <w:rPr>
          <w:rFonts w:cs="Arial"/>
          <w:b/>
          <w:snapToGrid w:val="0"/>
          <w:szCs w:val="22"/>
        </w:rPr>
        <w:t>nur</w:t>
      </w:r>
      <w:r w:rsidRPr="00A04A06">
        <w:rPr>
          <w:rFonts w:cs="Arial"/>
          <w:snapToGrid w:val="0"/>
          <w:szCs w:val="22"/>
        </w:rPr>
        <w:t xml:space="preserve"> </w:t>
      </w:r>
      <w:r w:rsidRPr="00603AA5">
        <w:rPr>
          <w:rFonts w:cs="Arial"/>
          <w:b/>
          <w:snapToGrid w:val="0"/>
          <w:szCs w:val="22"/>
        </w:rPr>
        <w:t>für</w:t>
      </w:r>
      <w:r w:rsidRPr="00A04A06">
        <w:rPr>
          <w:rFonts w:cs="Arial"/>
          <w:snapToGrid w:val="0"/>
          <w:szCs w:val="22"/>
        </w:rPr>
        <w:t xml:space="preserve"> die nachfolgend abschließend aufgeführten Verträge / Sparten: </w:t>
      </w:r>
    </w:p>
    <w:p w14:paraId="1C0E78E9" w14:textId="77777777" w:rsidR="00E76906" w:rsidRDefault="00E76906" w:rsidP="00E76906">
      <w:pPr>
        <w:widowControl w:val="0"/>
        <w:tabs>
          <w:tab w:val="left" w:pos="561"/>
        </w:tabs>
        <w:ind w:left="794" w:hanging="794"/>
        <w:rPr>
          <w:rFonts w:cs="Arial"/>
          <w:snapToGrid w:val="0"/>
          <w:szCs w:val="22"/>
        </w:rPr>
      </w:pPr>
    </w:p>
    <w:p w14:paraId="724139DD" w14:textId="77777777" w:rsidR="00101499" w:rsidRPr="00A04A06" w:rsidRDefault="00101499" w:rsidP="00101499">
      <w:pPr>
        <w:widowControl w:val="0"/>
        <w:tabs>
          <w:tab w:val="left" w:pos="561"/>
        </w:tabs>
        <w:ind w:left="794" w:hanging="794"/>
        <w:rPr>
          <w:rFonts w:cs="Arial"/>
          <w:snapToGrid w:val="0"/>
          <w:szCs w:val="22"/>
        </w:rPr>
      </w:pPr>
      <w:r>
        <w:rPr>
          <w:rFonts w:cs="Arial"/>
          <w:snapToGrid w:val="0"/>
          <w:szCs w:val="22"/>
        </w:rPr>
        <w:tab/>
      </w:r>
      <w:r w:rsidR="00603AA5">
        <w:rPr>
          <w:rFonts w:cs="Arial"/>
          <w:snapToGrid w:val="0"/>
          <w:szCs w:val="22"/>
        </w:rPr>
        <w:t>Versicherungsverträge</w:t>
      </w:r>
      <w:r>
        <w:rPr>
          <w:rFonts w:cs="Arial"/>
          <w:snapToGrid w:val="0"/>
          <w:szCs w:val="22"/>
        </w:rPr>
        <w:t>:</w:t>
      </w:r>
    </w:p>
    <w:p w14:paraId="4B55CE78" w14:textId="77777777" w:rsidR="00E76906" w:rsidRPr="00A04A06" w:rsidRDefault="00603AA5" w:rsidP="00101499">
      <w:pPr>
        <w:widowControl w:val="0"/>
        <w:tabs>
          <w:tab w:val="left" w:pos="561"/>
        </w:tabs>
        <w:ind w:left="794" w:hanging="794"/>
        <w:rPr>
          <w:rFonts w:cs="Arial"/>
          <w:snapToGrid w:val="0"/>
          <w:szCs w:val="22"/>
        </w:rPr>
      </w:pPr>
      <w:r>
        <w:rPr>
          <w:rFonts w:cs="Arial"/>
          <w:snapToGrid w:val="0"/>
          <w:szCs w:val="22"/>
        </w:rPr>
        <w:tab/>
      </w:r>
      <w:r w:rsidR="00E76906" w:rsidRPr="00A04A06">
        <w:rPr>
          <w:rFonts w:cs="Arial"/>
          <w:snapToGrid w:val="0"/>
          <w:szCs w:val="22"/>
        </w:rPr>
        <w:t>_________________________________________________</w:t>
      </w:r>
      <w:r>
        <w:rPr>
          <w:rFonts w:cs="Arial"/>
          <w:snapToGrid w:val="0"/>
          <w:szCs w:val="22"/>
        </w:rPr>
        <w:t>______________</w:t>
      </w:r>
    </w:p>
    <w:p w14:paraId="35DE9CBF" w14:textId="77777777" w:rsidR="00E76906" w:rsidRPr="00A04A06" w:rsidRDefault="00E76906" w:rsidP="00E76906">
      <w:pPr>
        <w:tabs>
          <w:tab w:val="left" w:pos="2244"/>
          <w:tab w:val="left" w:pos="2618"/>
          <w:tab w:val="left" w:pos="4678"/>
          <w:tab w:val="right" w:pos="8976"/>
        </w:tabs>
        <w:rPr>
          <w:rFonts w:cs="Arial"/>
          <w:szCs w:val="22"/>
        </w:rPr>
      </w:pPr>
    </w:p>
    <w:p w14:paraId="38302C58" w14:textId="77777777" w:rsidR="00E76906" w:rsidRPr="00A04A06" w:rsidRDefault="00603AA5" w:rsidP="00E76906">
      <w:pPr>
        <w:widowControl w:val="0"/>
        <w:tabs>
          <w:tab w:val="left" w:pos="561"/>
          <w:tab w:val="left" w:pos="1985"/>
          <w:tab w:val="left" w:pos="5103"/>
        </w:tabs>
        <w:ind w:left="794" w:hanging="794"/>
        <w:rPr>
          <w:rFonts w:cs="Arial"/>
          <w:snapToGrid w:val="0"/>
          <w:szCs w:val="22"/>
        </w:rPr>
      </w:pPr>
      <w:r>
        <w:rPr>
          <w:rFonts w:cs="Arial"/>
          <w:snapToGrid w:val="0"/>
          <w:szCs w:val="22"/>
        </w:rPr>
        <w:tab/>
      </w:r>
      <w:r w:rsidR="00E76906" w:rsidRPr="00A04A06">
        <w:rPr>
          <w:rFonts w:cs="Arial"/>
          <w:snapToGrid w:val="0"/>
          <w:szCs w:val="22"/>
        </w:rPr>
        <w:t>Sparten:</w:t>
      </w:r>
      <w:r w:rsidR="00E76906" w:rsidRPr="00A04A06">
        <w:rPr>
          <w:rFonts w:cs="Arial"/>
          <w:snapToGrid w:val="0"/>
          <w:szCs w:val="22"/>
        </w:rPr>
        <w:tab/>
      </w:r>
      <w:r w:rsidR="00E76906" w:rsidRPr="00A04A06">
        <w:rPr>
          <w:rFonts w:cs="Arial"/>
          <w:snapToGrid w:val="0"/>
          <w:szCs w:val="22"/>
        </w:rPr>
        <w:sym w:font="Wingdings" w:char="F06F"/>
      </w:r>
      <w:r w:rsidR="00E76906" w:rsidRPr="00A04A06">
        <w:rPr>
          <w:rFonts w:cs="Arial"/>
          <w:snapToGrid w:val="0"/>
          <w:szCs w:val="22"/>
        </w:rPr>
        <w:t xml:space="preserve"> Lebensversicherung</w:t>
      </w:r>
      <w:r w:rsidR="00E76906" w:rsidRPr="00A04A06">
        <w:rPr>
          <w:rFonts w:cs="Arial"/>
          <w:snapToGrid w:val="0"/>
          <w:szCs w:val="22"/>
        </w:rPr>
        <w:tab/>
      </w:r>
      <w:r w:rsidR="00E76906" w:rsidRPr="00A04A06">
        <w:rPr>
          <w:rFonts w:cs="Arial"/>
          <w:snapToGrid w:val="0"/>
          <w:szCs w:val="22"/>
        </w:rPr>
        <w:sym w:font="Wingdings" w:char="F06F"/>
      </w:r>
      <w:r w:rsidR="00E76906" w:rsidRPr="00A04A06">
        <w:rPr>
          <w:rFonts w:cs="Arial"/>
          <w:snapToGrid w:val="0"/>
          <w:szCs w:val="22"/>
        </w:rPr>
        <w:t xml:space="preserve"> Betriebliche Altersvorsorge</w:t>
      </w:r>
    </w:p>
    <w:p w14:paraId="2B220775" w14:textId="77777777" w:rsidR="00E76906" w:rsidRPr="00A04A06" w:rsidRDefault="00E76906" w:rsidP="00E76906">
      <w:pPr>
        <w:widowControl w:val="0"/>
        <w:tabs>
          <w:tab w:val="left" w:pos="561"/>
          <w:tab w:val="left" w:pos="1985"/>
          <w:tab w:val="left" w:pos="5103"/>
        </w:tabs>
        <w:ind w:left="794" w:hanging="794"/>
        <w:rPr>
          <w:rFonts w:cs="Arial"/>
          <w:snapToGrid w:val="0"/>
          <w:szCs w:val="22"/>
        </w:rPr>
      </w:pPr>
    </w:p>
    <w:p w14:paraId="5384E506" w14:textId="77777777" w:rsidR="00E76906" w:rsidRPr="00A04A06" w:rsidRDefault="00E76906" w:rsidP="00E76906">
      <w:pPr>
        <w:tabs>
          <w:tab w:val="left" w:pos="1985"/>
          <w:tab w:val="left" w:pos="2244"/>
          <w:tab w:val="left" w:pos="2618"/>
          <w:tab w:val="left" w:pos="4678"/>
          <w:tab w:val="left" w:pos="5103"/>
          <w:tab w:val="right" w:pos="8976"/>
        </w:tabs>
        <w:rPr>
          <w:rFonts w:cs="Arial"/>
          <w:szCs w:val="22"/>
        </w:rPr>
      </w:pPr>
      <w:r w:rsidRPr="00A04A06">
        <w:rPr>
          <w:rFonts w:cs="Arial"/>
          <w:snapToGrid w:val="0"/>
          <w:szCs w:val="22"/>
        </w:rPr>
        <w:tab/>
      </w:r>
      <w:r w:rsidRPr="00A04A06">
        <w:rPr>
          <w:rFonts w:cs="Arial"/>
          <w:snapToGrid w:val="0"/>
          <w:szCs w:val="22"/>
        </w:rPr>
        <w:sym w:font="Wingdings" w:char="F06F"/>
      </w:r>
      <w:r w:rsidRPr="00A04A06">
        <w:rPr>
          <w:rFonts w:cs="Arial"/>
          <w:snapToGrid w:val="0"/>
          <w:szCs w:val="22"/>
        </w:rPr>
        <w:t xml:space="preserve"> </w:t>
      </w:r>
      <w:r w:rsidRPr="00A04A06">
        <w:rPr>
          <w:rFonts w:cs="Arial"/>
          <w:szCs w:val="22"/>
        </w:rPr>
        <w:t>Sachversicherung</w:t>
      </w:r>
      <w:r w:rsidRPr="00A04A06">
        <w:rPr>
          <w:rFonts w:cs="Arial"/>
          <w:szCs w:val="22"/>
        </w:rPr>
        <w:tab/>
      </w:r>
      <w:r w:rsidRPr="00A04A06">
        <w:rPr>
          <w:rFonts w:cs="Arial"/>
          <w:szCs w:val="22"/>
        </w:rPr>
        <w:tab/>
      </w:r>
      <w:r w:rsidRPr="00A04A06">
        <w:rPr>
          <w:rFonts w:cs="Arial"/>
          <w:snapToGrid w:val="0"/>
          <w:szCs w:val="22"/>
        </w:rPr>
        <w:sym w:font="Wingdings" w:char="F06F"/>
      </w:r>
      <w:r w:rsidRPr="00A04A06">
        <w:rPr>
          <w:rFonts w:cs="Arial"/>
          <w:snapToGrid w:val="0"/>
          <w:szCs w:val="22"/>
        </w:rPr>
        <w:t xml:space="preserve"> </w:t>
      </w:r>
      <w:r w:rsidRPr="00A04A06">
        <w:rPr>
          <w:rFonts w:cs="Arial"/>
          <w:szCs w:val="22"/>
        </w:rPr>
        <w:t>Krankenversicherung</w:t>
      </w:r>
    </w:p>
    <w:p w14:paraId="2C5308FF" w14:textId="77777777" w:rsidR="00E76906" w:rsidRPr="00A04A06" w:rsidRDefault="00E76906" w:rsidP="00E76906">
      <w:pPr>
        <w:tabs>
          <w:tab w:val="left" w:pos="1985"/>
          <w:tab w:val="left" w:pos="2244"/>
          <w:tab w:val="left" w:pos="2618"/>
          <w:tab w:val="left" w:pos="4678"/>
          <w:tab w:val="left" w:pos="5103"/>
          <w:tab w:val="right" w:pos="8976"/>
        </w:tabs>
        <w:rPr>
          <w:rFonts w:cs="Arial"/>
          <w:szCs w:val="22"/>
        </w:rPr>
      </w:pPr>
    </w:p>
    <w:p w14:paraId="088CF51C" w14:textId="77777777" w:rsidR="00101499" w:rsidRDefault="00E76906" w:rsidP="00E76906">
      <w:pPr>
        <w:tabs>
          <w:tab w:val="left" w:pos="1985"/>
          <w:tab w:val="left" w:pos="2244"/>
          <w:tab w:val="left" w:pos="2618"/>
          <w:tab w:val="left" w:pos="3261"/>
          <w:tab w:val="left" w:pos="4678"/>
          <w:tab w:val="left" w:pos="5103"/>
          <w:tab w:val="right" w:pos="8976"/>
        </w:tabs>
        <w:rPr>
          <w:rFonts w:cs="Arial"/>
          <w:szCs w:val="22"/>
        </w:rPr>
      </w:pPr>
      <w:r w:rsidRPr="00A04A06">
        <w:rPr>
          <w:rFonts w:cs="Arial"/>
          <w:snapToGrid w:val="0"/>
          <w:szCs w:val="22"/>
        </w:rPr>
        <w:tab/>
      </w:r>
      <w:r w:rsidRPr="00A04A06">
        <w:rPr>
          <w:rFonts w:cs="Arial"/>
          <w:snapToGrid w:val="0"/>
          <w:szCs w:val="22"/>
        </w:rPr>
        <w:sym w:font="Wingdings" w:char="F06F"/>
      </w:r>
      <w:r w:rsidRPr="00A04A06">
        <w:rPr>
          <w:rFonts w:cs="Arial"/>
          <w:snapToGrid w:val="0"/>
          <w:szCs w:val="22"/>
        </w:rPr>
        <w:t xml:space="preserve"> </w:t>
      </w:r>
      <w:r w:rsidRPr="00A04A06">
        <w:rPr>
          <w:rFonts w:cs="Arial"/>
          <w:szCs w:val="22"/>
        </w:rPr>
        <w:t>Sonstige:</w:t>
      </w:r>
      <w:r w:rsidRPr="00A04A06">
        <w:rPr>
          <w:rFonts w:cs="Arial"/>
          <w:szCs w:val="22"/>
        </w:rPr>
        <w:tab/>
      </w:r>
    </w:p>
    <w:p w14:paraId="22A3D7D0" w14:textId="77777777" w:rsidR="00101499" w:rsidRDefault="00101499" w:rsidP="00E76906">
      <w:pPr>
        <w:tabs>
          <w:tab w:val="left" w:pos="1985"/>
          <w:tab w:val="left" w:pos="2244"/>
          <w:tab w:val="left" w:pos="2618"/>
          <w:tab w:val="left" w:pos="3261"/>
          <w:tab w:val="left" w:pos="4678"/>
          <w:tab w:val="left" w:pos="5103"/>
          <w:tab w:val="right" w:pos="8976"/>
        </w:tabs>
        <w:rPr>
          <w:rFonts w:cs="Arial"/>
          <w:szCs w:val="22"/>
        </w:rPr>
      </w:pPr>
    </w:p>
    <w:p w14:paraId="029B1996" w14:textId="77777777" w:rsidR="00E76906" w:rsidRPr="00A04A06" w:rsidRDefault="00101499" w:rsidP="00E76906">
      <w:pPr>
        <w:tabs>
          <w:tab w:val="left" w:pos="1985"/>
          <w:tab w:val="left" w:pos="2244"/>
          <w:tab w:val="left" w:pos="2618"/>
          <w:tab w:val="left" w:pos="3261"/>
          <w:tab w:val="left" w:pos="4678"/>
          <w:tab w:val="left" w:pos="5103"/>
          <w:tab w:val="right" w:pos="8976"/>
        </w:tabs>
        <w:rPr>
          <w:rFonts w:cs="Arial"/>
          <w:szCs w:val="22"/>
        </w:rPr>
      </w:pPr>
      <w:r>
        <w:rPr>
          <w:rFonts w:cs="Arial"/>
          <w:szCs w:val="22"/>
        </w:rPr>
        <w:tab/>
      </w:r>
      <w:r w:rsidR="00E76906" w:rsidRPr="00A04A06">
        <w:rPr>
          <w:rFonts w:cs="Arial"/>
          <w:szCs w:val="22"/>
        </w:rPr>
        <w:t>__________________________________________________</w:t>
      </w:r>
    </w:p>
    <w:p w14:paraId="5C8B302D" w14:textId="77777777" w:rsidR="001C2937" w:rsidRDefault="00E76906" w:rsidP="00E76906">
      <w:pPr>
        <w:tabs>
          <w:tab w:val="left" w:pos="1985"/>
          <w:tab w:val="left" w:pos="2244"/>
          <w:tab w:val="left" w:pos="2618"/>
          <w:tab w:val="left" w:pos="3261"/>
          <w:tab w:val="left" w:pos="4678"/>
          <w:tab w:val="left" w:pos="5103"/>
          <w:tab w:val="right" w:pos="8976"/>
        </w:tabs>
        <w:rPr>
          <w:rFonts w:cs="Arial"/>
          <w:szCs w:val="22"/>
        </w:rPr>
      </w:pPr>
      <w:r w:rsidRPr="00A04A06">
        <w:rPr>
          <w:rFonts w:cs="Arial"/>
          <w:szCs w:val="22"/>
        </w:rPr>
        <w:tab/>
      </w:r>
    </w:p>
    <w:p w14:paraId="13314CDD" w14:textId="62C416B9" w:rsidR="00E76906" w:rsidRPr="00A04A06" w:rsidRDefault="001C2937" w:rsidP="00E76906">
      <w:pPr>
        <w:tabs>
          <w:tab w:val="left" w:pos="1985"/>
          <w:tab w:val="left" w:pos="2244"/>
          <w:tab w:val="left" w:pos="2618"/>
          <w:tab w:val="left" w:pos="3261"/>
          <w:tab w:val="left" w:pos="4678"/>
          <w:tab w:val="left" w:pos="5103"/>
          <w:tab w:val="right" w:pos="8976"/>
        </w:tabs>
        <w:rPr>
          <w:rFonts w:cs="Arial"/>
          <w:szCs w:val="22"/>
        </w:rPr>
      </w:pPr>
      <w:r>
        <w:rPr>
          <w:rFonts w:cs="Arial"/>
          <w:szCs w:val="22"/>
        </w:rPr>
        <w:tab/>
      </w:r>
      <w:r w:rsidR="00E76906" w:rsidRPr="00A04A06">
        <w:rPr>
          <w:rFonts w:cs="Arial"/>
          <w:szCs w:val="22"/>
        </w:rPr>
        <w:t>__________________________________________________</w:t>
      </w:r>
    </w:p>
    <w:p w14:paraId="655E64B2" w14:textId="77777777" w:rsidR="006676FA" w:rsidRDefault="006676FA" w:rsidP="00B92DEF">
      <w:pPr>
        <w:jc w:val="left"/>
        <w:rPr>
          <w:rFonts w:cs="Arial"/>
          <w:szCs w:val="22"/>
        </w:rPr>
      </w:pPr>
    </w:p>
    <w:p w14:paraId="7149EA29" w14:textId="77777777" w:rsidR="002A6F0D" w:rsidRDefault="002A6F0D" w:rsidP="00B92DEF">
      <w:pPr>
        <w:jc w:val="left"/>
        <w:rPr>
          <w:rFonts w:cs="Arial"/>
          <w:szCs w:val="22"/>
        </w:rPr>
      </w:pPr>
    </w:p>
    <w:p w14:paraId="3BA91D82" w14:textId="77777777" w:rsidR="006B09E9" w:rsidRPr="00F815A9" w:rsidRDefault="006B09E9" w:rsidP="00F815A9">
      <w:pPr>
        <w:pStyle w:val="Textkrper3"/>
        <w:spacing w:line="240" w:lineRule="auto"/>
        <w:rPr>
          <w:b/>
          <w:sz w:val="22"/>
          <w:szCs w:val="22"/>
        </w:rPr>
      </w:pPr>
      <w:r w:rsidRPr="00F815A9">
        <w:rPr>
          <w:b/>
          <w:sz w:val="22"/>
          <w:szCs w:val="22"/>
        </w:rPr>
        <w:t>Maklervergütung</w:t>
      </w:r>
    </w:p>
    <w:p w14:paraId="61DDCC61" w14:textId="77777777" w:rsidR="00F815A9" w:rsidRDefault="006B09E9" w:rsidP="00F815A9">
      <w:pPr>
        <w:jc w:val="left"/>
        <w:rPr>
          <w:rFonts w:cs="Arial"/>
          <w:szCs w:val="22"/>
        </w:rPr>
      </w:pPr>
      <w:r w:rsidRPr="000A14CB">
        <w:rPr>
          <w:rFonts w:cs="Arial"/>
          <w:szCs w:val="22"/>
        </w:rPr>
        <w:t xml:space="preserve">Die Leistungen des Versicherungsmaklers werden </w:t>
      </w:r>
      <w:r w:rsidR="007679B7">
        <w:rPr>
          <w:rFonts w:cs="Arial"/>
          <w:szCs w:val="22"/>
        </w:rPr>
        <w:t xml:space="preserve">regelmäßig </w:t>
      </w:r>
      <w:r w:rsidRPr="000A14CB">
        <w:rPr>
          <w:rFonts w:cs="Arial"/>
          <w:szCs w:val="22"/>
        </w:rPr>
        <w:t>durch die vom Versicherer zu tragende Courtage abgegolten; sie ist Bestandteil der Versicherungsprämie.</w:t>
      </w:r>
      <w:r w:rsidR="006676FA" w:rsidRPr="000A14CB">
        <w:rPr>
          <w:rFonts w:cs="Arial"/>
          <w:szCs w:val="22"/>
        </w:rPr>
        <w:t xml:space="preserve"> </w:t>
      </w:r>
    </w:p>
    <w:p w14:paraId="14F6A25F" w14:textId="77777777" w:rsidR="00FD0731" w:rsidRDefault="00FD0731" w:rsidP="00F815A9">
      <w:pPr>
        <w:jc w:val="left"/>
        <w:rPr>
          <w:rFonts w:cs="Arial"/>
          <w:szCs w:val="22"/>
        </w:rPr>
      </w:pPr>
    </w:p>
    <w:p w14:paraId="54BFD706" w14:textId="77777777" w:rsidR="00FD0731" w:rsidRPr="00FD0731" w:rsidRDefault="00FD0731" w:rsidP="00FD0731">
      <w:pPr>
        <w:jc w:val="left"/>
        <w:rPr>
          <w:rFonts w:cs="Arial"/>
          <w:szCs w:val="22"/>
        </w:rPr>
      </w:pPr>
      <w:r w:rsidRPr="00FD0731">
        <w:rPr>
          <w:rFonts w:cs="Arial"/>
          <w:szCs w:val="22"/>
        </w:rPr>
        <w:lastRenderedPageBreak/>
        <w:t>Eine von Absatz 1 abweichende Vergütungsvereinbarung für die Versicherungsvermittlung bedarf einer gesonderten schriftlichen Vereinbarung zwischen dem Makler und dem Kunden.</w:t>
      </w:r>
    </w:p>
    <w:p w14:paraId="5EA8EA14" w14:textId="77777777" w:rsidR="00FD0731" w:rsidRPr="00FD0731" w:rsidRDefault="00FD0731" w:rsidP="00FD0731">
      <w:pPr>
        <w:jc w:val="left"/>
        <w:rPr>
          <w:rFonts w:cs="Arial"/>
          <w:szCs w:val="22"/>
        </w:rPr>
      </w:pPr>
    </w:p>
    <w:p w14:paraId="1128E67F" w14:textId="77777777" w:rsidR="00FD0731" w:rsidRPr="00FD0731" w:rsidRDefault="00FD0731" w:rsidP="00FD0731">
      <w:pPr>
        <w:jc w:val="left"/>
        <w:rPr>
          <w:rFonts w:cs="Arial"/>
          <w:szCs w:val="22"/>
        </w:rPr>
      </w:pPr>
      <w:r w:rsidRPr="00FD0731">
        <w:rPr>
          <w:rFonts w:cs="Arial"/>
          <w:szCs w:val="22"/>
        </w:rPr>
        <w:t>Für bestimmte zusätzliche Tätigkeiten und Serviceleistungen kann der Makler dem Kunden eine gesonderte Vergütung in Rechnung stellen, wenn dies zwischen den Parteien gesondert schriftlich vereinbart wurde.</w:t>
      </w:r>
    </w:p>
    <w:p w14:paraId="691F58D2" w14:textId="77777777" w:rsidR="00F815A9" w:rsidRDefault="00F815A9" w:rsidP="00F815A9">
      <w:pPr>
        <w:jc w:val="left"/>
        <w:rPr>
          <w:rFonts w:cs="Arial"/>
          <w:szCs w:val="22"/>
        </w:rPr>
      </w:pPr>
    </w:p>
    <w:p w14:paraId="05285AC9" w14:textId="77777777" w:rsidR="002A6F0D" w:rsidRDefault="002A6F0D" w:rsidP="00F815A9">
      <w:pPr>
        <w:jc w:val="left"/>
        <w:rPr>
          <w:rFonts w:cs="Arial"/>
          <w:szCs w:val="22"/>
        </w:rPr>
      </w:pPr>
    </w:p>
    <w:p w14:paraId="782F7582" w14:textId="77777777" w:rsidR="006B09E9" w:rsidRPr="00F815A9" w:rsidRDefault="006B09E9" w:rsidP="00F815A9">
      <w:pPr>
        <w:pStyle w:val="Textkrper3"/>
        <w:spacing w:line="240" w:lineRule="auto"/>
        <w:rPr>
          <w:b/>
          <w:sz w:val="22"/>
          <w:szCs w:val="22"/>
        </w:rPr>
      </w:pPr>
      <w:r w:rsidRPr="00F815A9">
        <w:rPr>
          <w:b/>
          <w:sz w:val="22"/>
          <w:szCs w:val="22"/>
        </w:rPr>
        <w:t>Risikoänderungen</w:t>
      </w:r>
      <w:r w:rsidR="002805A8" w:rsidRPr="00DB61FE">
        <w:rPr>
          <w:b/>
          <w:sz w:val="22"/>
          <w:szCs w:val="22"/>
          <w:vertAlign w:val="superscript"/>
        </w:rPr>
        <w:footnoteReference w:id="2"/>
      </w:r>
    </w:p>
    <w:p w14:paraId="4FBBE7AC" w14:textId="77777777" w:rsidR="00101499" w:rsidRDefault="00F56311" w:rsidP="00B92DEF">
      <w:pPr>
        <w:jc w:val="left"/>
        <w:rPr>
          <w:rFonts w:cs="Arial"/>
          <w:szCs w:val="22"/>
        </w:rPr>
      </w:pPr>
      <w:r w:rsidRPr="000A14CB">
        <w:rPr>
          <w:rFonts w:cs="Arial"/>
          <w:szCs w:val="22"/>
        </w:rPr>
        <w:t xml:space="preserve">Der Kunde ist verpflichtet, </w:t>
      </w:r>
      <w:r w:rsidR="00520130">
        <w:rPr>
          <w:rFonts w:cs="Arial"/>
          <w:szCs w:val="22"/>
        </w:rPr>
        <w:t xml:space="preserve">für ihn erkennbar </w:t>
      </w:r>
      <w:r w:rsidR="00EE59E1" w:rsidRPr="000A14CB">
        <w:rPr>
          <w:rFonts w:cs="Arial"/>
          <w:szCs w:val="22"/>
        </w:rPr>
        <w:t>v</w:t>
      </w:r>
      <w:r w:rsidR="006B09E9" w:rsidRPr="000A14CB">
        <w:rPr>
          <w:rFonts w:cs="Arial"/>
          <w:szCs w:val="22"/>
        </w:rPr>
        <w:t>ertrags- und risikorelevante Änderungen</w:t>
      </w:r>
      <w:r w:rsidR="00CE13EF" w:rsidRPr="000A14CB">
        <w:rPr>
          <w:rFonts w:cs="Arial"/>
          <w:szCs w:val="22"/>
        </w:rPr>
        <w:t xml:space="preserve">, die den Versicherungsschutz betreffen (z.B. </w:t>
      </w:r>
      <w:r w:rsidR="00316B61" w:rsidRPr="000A14CB">
        <w:rPr>
          <w:rFonts w:cs="Arial"/>
          <w:szCs w:val="22"/>
        </w:rPr>
        <w:t>Umzug, Familiengründung, Anschaffungen, Betriebsverlegung etc.</w:t>
      </w:r>
      <w:r w:rsidR="00CE13EF" w:rsidRPr="000A14CB">
        <w:rPr>
          <w:rFonts w:cs="Arial"/>
          <w:szCs w:val="22"/>
        </w:rPr>
        <w:t>),</w:t>
      </w:r>
      <w:r w:rsidRPr="000A14CB">
        <w:rPr>
          <w:rFonts w:cs="Arial"/>
          <w:szCs w:val="22"/>
        </w:rPr>
        <w:t xml:space="preserve"> dem Makler </w:t>
      </w:r>
      <w:r w:rsidR="00EE59E1" w:rsidRPr="000A14CB">
        <w:rPr>
          <w:rFonts w:cs="Arial"/>
          <w:szCs w:val="22"/>
        </w:rPr>
        <w:t xml:space="preserve">unverzüglich </w:t>
      </w:r>
      <w:r w:rsidRPr="000A14CB">
        <w:rPr>
          <w:rFonts w:cs="Arial"/>
          <w:szCs w:val="22"/>
        </w:rPr>
        <w:t>mitzuteilen</w:t>
      </w:r>
      <w:r w:rsidR="006B09E9" w:rsidRPr="000A14CB">
        <w:rPr>
          <w:rFonts w:cs="Arial"/>
          <w:szCs w:val="22"/>
        </w:rPr>
        <w:t>.</w:t>
      </w:r>
    </w:p>
    <w:p w14:paraId="76B39D9A" w14:textId="77777777" w:rsidR="00027547" w:rsidRDefault="00027547" w:rsidP="00B92DEF">
      <w:pPr>
        <w:jc w:val="left"/>
        <w:rPr>
          <w:rFonts w:cs="Arial"/>
          <w:szCs w:val="22"/>
        </w:rPr>
      </w:pPr>
    </w:p>
    <w:p w14:paraId="63B22144" w14:textId="77777777" w:rsidR="002A6F0D" w:rsidRDefault="002A6F0D" w:rsidP="00B92DEF">
      <w:pPr>
        <w:jc w:val="left"/>
        <w:rPr>
          <w:rFonts w:cs="Arial"/>
          <w:szCs w:val="22"/>
        </w:rPr>
      </w:pPr>
    </w:p>
    <w:p w14:paraId="43B32583" w14:textId="77777777" w:rsidR="006B09E9" w:rsidRPr="00F815A9" w:rsidRDefault="006B09E9" w:rsidP="00F815A9">
      <w:pPr>
        <w:pStyle w:val="Textkrper3"/>
        <w:spacing w:line="240" w:lineRule="auto"/>
        <w:rPr>
          <w:b/>
          <w:sz w:val="22"/>
          <w:szCs w:val="22"/>
        </w:rPr>
      </w:pPr>
      <w:r w:rsidRPr="00F815A9">
        <w:rPr>
          <w:b/>
          <w:sz w:val="22"/>
          <w:szCs w:val="22"/>
        </w:rPr>
        <w:t>Kündigung</w:t>
      </w:r>
    </w:p>
    <w:p w14:paraId="4AB2FD70" w14:textId="77777777" w:rsidR="00F94AC5" w:rsidRPr="00F94AC5" w:rsidRDefault="00F94AC5" w:rsidP="00F94AC5">
      <w:pPr>
        <w:jc w:val="left"/>
        <w:rPr>
          <w:rFonts w:cs="Arial"/>
          <w:szCs w:val="22"/>
        </w:rPr>
      </w:pPr>
      <w:r w:rsidRPr="00F94AC5">
        <w:rPr>
          <w:rFonts w:cs="Arial"/>
          <w:szCs w:val="22"/>
        </w:rPr>
        <w:t>Der Maklervertrag ist auf unbestimmte Zeit geschlossen und kann vom Kunden jederzeit ohne Einhaltung einer Frist gekündigt werden. Der Makler kann den Vertrag mit einer Frist von einem Monat kündigen</w:t>
      </w:r>
      <w:r w:rsidR="006A4299">
        <w:rPr>
          <w:rStyle w:val="Funotenzeichen"/>
          <w:rFonts w:cs="Arial"/>
          <w:szCs w:val="22"/>
        </w:rPr>
        <w:footnoteReference w:id="3"/>
      </w:r>
      <w:r w:rsidRPr="00F94AC5">
        <w:rPr>
          <w:rFonts w:cs="Arial"/>
          <w:szCs w:val="22"/>
        </w:rPr>
        <w:t>. Die Kündigung bedarf der Textform (z.B. per E-Mail).</w:t>
      </w:r>
      <w:r>
        <w:rPr>
          <w:rFonts w:cs="Arial"/>
          <w:szCs w:val="22"/>
        </w:rPr>
        <w:t xml:space="preserve"> </w:t>
      </w:r>
    </w:p>
    <w:p w14:paraId="4FB18C46" w14:textId="77777777" w:rsidR="00F815A9" w:rsidRDefault="00F815A9" w:rsidP="002A6F0D">
      <w:pPr>
        <w:jc w:val="left"/>
        <w:rPr>
          <w:rFonts w:cs="Arial"/>
          <w:szCs w:val="22"/>
        </w:rPr>
      </w:pPr>
    </w:p>
    <w:p w14:paraId="695F4A6B" w14:textId="77777777" w:rsidR="002A6F0D" w:rsidRPr="002A6F0D" w:rsidRDefault="002A6F0D" w:rsidP="002A6F0D">
      <w:pPr>
        <w:jc w:val="left"/>
        <w:rPr>
          <w:rFonts w:cs="Arial"/>
          <w:szCs w:val="22"/>
        </w:rPr>
      </w:pPr>
    </w:p>
    <w:p w14:paraId="07B6E7C8" w14:textId="77777777" w:rsidR="00CF6EC7" w:rsidRPr="00F815A9" w:rsidRDefault="00CF6EC7" w:rsidP="00F815A9">
      <w:pPr>
        <w:pStyle w:val="Textkrper3"/>
        <w:spacing w:line="240" w:lineRule="auto"/>
        <w:rPr>
          <w:b/>
          <w:sz w:val="22"/>
          <w:szCs w:val="22"/>
        </w:rPr>
      </w:pPr>
      <w:r w:rsidRPr="00F815A9">
        <w:rPr>
          <w:b/>
          <w:sz w:val="22"/>
          <w:szCs w:val="22"/>
        </w:rPr>
        <w:t>Wechsel des Vertragspartners</w:t>
      </w:r>
      <w:r w:rsidR="007438A3" w:rsidRPr="00F815A9">
        <w:rPr>
          <w:b/>
          <w:sz w:val="22"/>
          <w:szCs w:val="22"/>
        </w:rPr>
        <w:t xml:space="preserve"> und Weitergabe Ihrer Kundendaten an diesen</w:t>
      </w:r>
      <w:r w:rsidR="002B3230" w:rsidRPr="001C2937">
        <w:rPr>
          <w:sz w:val="22"/>
          <w:vertAlign w:val="superscript"/>
        </w:rPr>
        <w:footnoteReference w:id="4"/>
      </w:r>
    </w:p>
    <w:p w14:paraId="0EE68F45" w14:textId="77777777" w:rsidR="00601F34" w:rsidRDefault="00CF6EC7" w:rsidP="00B92DEF">
      <w:pPr>
        <w:jc w:val="left"/>
        <w:rPr>
          <w:rFonts w:cs="Arial"/>
          <w:szCs w:val="22"/>
        </w:rPr>
      </w:pPr>
      <w:r w:rsidRPr="009650C6">
        <w:rPr>
          <w:rFonts w:cs="Arial"/>
          <w:szCs w:val="22"/>
        </w:rPr>
        <w:t xml:space="preserve">Sollte der Makler seinen Geschäftsbetrieb ganz oder teilweise auf einen anderen Makler übertragen (z. B. im Rahmen der Veräußerung des Geschäftsbetriebes), </w:t>
      </w:r>
      <w:r w:rsidR="00601F34">
        <w:rPr>
          <w:rFonts w:cs="Arial"/>
          <w:szCs w:val="22"/>
        </w:rPr>
        <w:t xml:space="preserve">wird der Makler den Maklerwechsel anzeigen. </w:t>
      </w:r>
      <w:r w:rsidR="00601F34" w:rsidRPr="009650C6">
        <w:rPr>
          <w:rFonts w:cs="Arial"/>
          <w:szCs w:val="22"/>
        </w:rPr>
        <w:t xml:space="preserve">Der Kunde ist berechtigt, </w:t>
      </w:r>
      <w:r w:rsidR="00601F34">
        <w:rPr>
          <w:rFonts w:cs="Arial"/>
          <w:szCs w:val="22"/>
        </w:rPr>
        <w:t>innerhalb eines Monats</w:t>
      </w:r>
      <w:r w:rsidR="00601F34">
        <w:rPr>
          <w:rStyle w:val="Funotenzeichen"/>
          <w:rFonts w:cs="Arial"/>
          <w:szCs w:val="22"/>
        </w:rPr>
        <w:footnoteReference w:id="5"/>
      </w:r>
      <w:r w:rsidR="00601F34">
        <w:rPr>
          <w:rFonts w:cs="Arial"/>
          <w:szCs w:val="22"/>
        </w:rPr>
        <w:t xml:space="preserve"> nach Anzeige </w:t>
      </w:r>
      <w:r w:rsidR="002B72E6">
        <w:rPr>
          <w:rFonts w:cs="Arial"/>
          <w:szCs w:val="22"/>
        </w:rPr>
        <w:t xml:space="preserve">der Übertragung von Daten an den neuen Makler </w:t>
      </w:r>
      <w:r w:rsidR="00601F34" w:rsidRPr="009650C6">
        <w:rPr>
          <w:rFonts w:cs="Arial"/>
          <w:szCs w:val="22"/>
        </w:rPr>
        <w:t>zu widersprechen.</w:t>
      </w:r>
    </w:p>
    <w:p w14:paraId="3E12F29A" w14:textId="77777777" w:rsidR="00601F34" w:rsidRDefault="00601F34" w:rsidP="00B92DEF">
      <w:pPr>
        <w:jc w:val="left"/>
        <w:rPr>
          <w:rFonts w:cs="Arial"/>
          <w:szCs w:val="22"/>
        </w:rPr>
      </w:pPr>
    </w:p>
    <w:p w14:paraId="77F1E20C" w14:textId="77777777" w:rsidR="002A6F0D" w:rsidRDefault="002A6F0D" w:rsidP="00B92DEF">
      <w:pPr>
        <w:jc w:val="left"/>
        <w:rPr>
          <w:rFonts w:cs="Arial"/>
          <w:szCs w:val="22"/>
        </w:rPr>
      </w:pPr>
    </w:p>
    <w:p w14:paraId="1579D9FA" w14:textId="77777777" w:rsidR="00374138" w:rsidRPr="00F815A9" w:rsidRDefault="00996D48" w:rsidP="00F815A9">
      <w:pPr>
        <w:pStyle w:val="Textkrper3"/>
        <w:spacing w:line="240" w:lineRule="auto"/>
        <w:rPr>
          <w:b/>
          <w:sz w:val="22"/>
          <w:szCs w:val="22"/>
        </w:rPr>
      </w:pPr>
      <w:r w:rsidRPr="00F815A9">
        <w:rPr>
          <w:b/>
          <w:sz w:val="22"/>
          <w:szCs w:val="22"/>
        </w:rPr>
        <w:t>Haftung</w:t>
      </w:r>
      <w:r w:rsidR="00EF0FBB" w:rsidRPr="00F815A9">
        <w:rPr>
          <w:b/>
          <w:sz w:val="22"/>
          <w:szCs w:val="22"/>
        </w:rPr>
        <w:t>sbegrenzung</w:t>
      </w:r>
      <w:r w:rsidR="00374138" w:rsidRPr="001C2937">
        <w:rPr>
          <w:sz w:val="22"/>
          <w:vertAlign w:val="superscript"/>
        </w:rPr>
        <w:footnoteReference w:id="6"/>
      </w:r>
    </w:p>
    <w:p w14:paraId="7EAC09C8" w14:textId="77777777" w:rsidR="00EF0FBB" w:rsidRPr="000A14CB" w:rsidRDefault="00EF0FBB" w:rsidP="00B92DEF">
      <w:pPr>
        <w:jc w:val="left"/>
        <w:rPr>
          <w:rFonts w:cs="Arial"/>
          <w:szCs w:val="22"/>
        </w:rPr>
      </w:pPr>
      <w:r w:rsidRPr="000A14CB">
        <w:rPr>
          <w:rFonts w:cs="Arial"/>
          <w:szCs w:val="22"/>
        </w:rPr>
        <w:t>Keine Regelung</w:t>
      </w:r>
    </w:p>
    <w:p w14:paraId="2900462D" w14:textId="77777777" w:rsidR="00EF0FBB" w:rsidRDefault="00EF0FBB" w:rsidP="00B92DEF">
      <w:pPr>
        <w:jc w:val="left"/>
        <w:rPr>
          <w:rFonts w:cs="Arial"/>
          <w:szCs w:val="22"/>
        </w:rPr>
      </w:pPr>
    </w:p>
    <w:p w14:paraId="0A910464" w14:textId="77777777" w:rsidR="002A6F0D" w:rsidRDefault="002A6F0D" w:rsidP="00B92DEF">
      <w:pPr>
        <w:jc w:val="left"/>
        <w:rPr>
          <w:rFonts w:cs="Arial"/>
          <w:szCs w:val="22"/>
        </w:rPr>
      </w:pPr>
    </w:p>
    <w:p w14:paraId="78623436" w14:textId="77777777" w:rsidR="00027547" w:rsidRPr="00F815A9" w:rsidRDefault="00027547" w:rsidP="00F815A9">
      <w:pPr>
        <w:pStyle w:val="Textkrper3"/>
        <w:spacing w:line="240" w:lineRule="auto"/>
        <w:rPr>
          <w:b/>
          <w:sz w:val="22"/>
          <w:szCs w:val="22"/>
        </w:rPr>
      </w:pPr>
      <w:r w:rsidRPr="00F815A9">
        <w:rPr>
          <w:b/>
          <w:sz w:val="22"/>
          <w:szCs w:val="22"/>
        </w:rPr>
        <w:t>Aufhebung früherer Verträge</w:t>
      </w:r>
    </w:p>
    <w:p w14:paraId="6A79EB2F" w14:textId="77777777" w:rsidR="00027547" w:rsidRDefault="00027547" w:rsidP="00B92DEF">
      <w:pPr>
        <w:jc w:val="left"/>
        <w:rPr>
          <w:rFonts w:cs="Arial"/>
          <w:szCs w:val="22"/>
        </w:rPr>
      </w:pPr>
      <w:r>
        <w:rPr>
          <w:rFonts w:cs="Arial"/>
          <w:szCs w:val="22"/>
        </w:rPr>
        <w:t>Mit Abschluss dieses Vertrages verlieren alle eventuell früher zwischen den Parteien geschlossenen Maklerverträge ihre Gültigkeit.</w:t>
      </w:r>
    </w:p>
    <w:p w14:paraId="624055BF" w14:textId="77777777" w:rsidR="00027547" w:rsidRDefault="00027547" w:rsidP="00B92DEF">
      <w:pPr>
        <w:jc w:val="left"/>
        <w:rPr>
          <w:rFonts w:cs="Arial"/>
          <w:szCs w:val="22"/>
        </w:rPr>
      </w:pPr>
    </w:p>
    <w:p w14:paraId="59265AE6" w14:textId="77777777" w:rsidR="002A6F0D" w:rsidRPr="001C4042" w:rsidRDefault="002A6F0D" w:rsidP="00B92DEF">
      <w:pPr>
        <w:jc w:val="left"/>
        <w:rPr>
          <w:rFonts w:cs="Arial"/>
          <w:szCs w:val="22"/>
        </w:rPr>
      </w:pPr>
    </w:p>
    <w:p w14:paraId="2F7A1394" w14:textId="77777777" w:rsidR="0031173B" w:rsidRPr="00F815A9" w:rsidRDefault="0031173B" w:rsidP="00F815A9">
      <w:pPr>
        <w:pStyle w:val="Textkrper3"/>
        <w:spacing w:line="240" w:lineRule="auto"/>
        <w:rPr>
          <w:b/>
          <w:sz w:val="22"/>
          <w:szCs w:val="22"/>
        </w:rPr>
      </w:pPr>
      <w:r w:rsidRPr="00F815A9">
        <w:rPr>
          <w:b/>
          <w:sz w:val="22"/>
          <w:szCs w:val="22"/>
        </w:rPr>
        <w:t>Salvatorische Klausel</w:t>
      </w:r>
    </w:p>
    <w:p w14:paraId="794DEF6D" w14:textId="77777777" w:rsidR="0031173B" w:rsidRPr="000A14CB" w:rsidRDefault="0031173B" w:rsidP="00B92DEF">
      <w:pPr>
        <w:jc w:val="left"/>
        <w:rPr>
          <w:rFonts w:cs="Arial"/>
          <w:szCs w:val="22"/>
        </w:rPr>
      </w:pPr>
      <w:r w:rsidRPr="000A14CB">
        <w:rPr>
          <w:rFonts w:cs="Arial"/>
          <w:szCs w:val="22"/>
        </w:rPr>
        <w:t xml:space="preserve">Sollte eine Bestimmung dieses Vertrages unwirksam sein oder werden, so bleiben die übrigen Bestimmungen dieses Vertrages hiervon unberührt, es sei denn, dass durch den Wegfall einzelner Klauseln eine Vertragspartei so unzumutbar benachteiligt würde, dass ihr ein Festhalten am Vertrag nicht mehr zugemutet werden kann. </w:t>
      </w:r>
    </w:p>
    <w:p w14:paraId="64042330" w14:textId="3E81C4B2" w:rsidR="002A6F0D" w:rsidRDefault="002A6F0D" w:rsidP="00101499">
      <w:pPr>
        <w:jc w:val="left"/>
      </w:pPr>
    </w:p>
    <w:p w14:paraId="1363AC0C" w14:textId="71CBF17E" w:rsidR="001C2937" w:rsidRDefault="001C2937" w:rsidP="00101499">
      <w:pPr>
        <w:jc w:val="left"/>
      </w:pPr>
    </w:p>
    <w:p w14:paraId="37FC6443" w14:textId="77777777" w:rsidR="001C2937" w:rsidRDefault="001C2937" w:rsidP="00101499">
      <w:pPr>
        <w:jc w:val="left"/>
      </w:pPr>
    </w:p>
    <w:p w14:paraId="0DC6DEAD" w14:textId="77777777" w:rsidR="00101499" w:rsidRDefault="00101499" w:rsidP="00101499">
      <w:pPr>
        <w:jc w:val="left"/>
      </w:pPr>
      <w:r>
        <w:t>Ort, Datum: __________________ Unterschrift des Kunden: ______________________</w:t>
      </w:r>
    </w:p>
    <w:p w14:paraId="21595E74" w14:textId="77777777" w:rsidR="00101499" w:rsidRDefault="00101499" w:rsidP="00101499">
      <w:pPr>
        <w:jc w:val="left"/>
      </w:pPr>
    </w:p>
    <w:p w14:paraId="7C89462E" w14:textId="77777777" w:rsidR="00101499" w:rsidRDefault="00101499" w:rsidP="00101499">
      <w:pPr>
        <w:jc w:val="left"/>
      </w:pPr>
      <w:r>
        <w:t>Name des Unterzeichners in Druckbuchstaben: _________________________________</w:t>
      </w:r>
    </w:p>
    <w:p w14:paraId="39563BD6" w14:textId="77777777" w:rsidR="00101499" w:rsidRDefault="00101499" w:rsidP="00101499">
      <w:pPr>
        <w:jc w:val="left"/>
      </w:pPr>
    </w:p>
    <w:p w14:paraId="3C425496" w14:textId="77777777" w:rsidR="00101499" w:rsidRDefault="00101499" w:rsidP="00101499">
      <w:pPr>
        <w:jc w:val="left"/>
      </w:pPr>
    </w:p>
    <w:p w14:paraId="57B3E225" w14:textId="77777777" w:rsidR="00101499" w:rsidRDefault="00101499" w:rsidP="00101499">
      <w:pPr>
        <w:jc w:val="left"/>
      </w:pPr>
      <w:r>
        <w:t xml:space="preserve">Falls erforderlich: </w:t>
      </w:r>
    </w:p>
    <w:p w14:paraId="2AF7959C" w14:textId="77777777" w:rsidR="00101499" w:rsidRDefault="00101499" w:rsidP="00101499">
      <w:pPr>
        <w:jc w:val="left"/>
      </w:pPr>
    </w:p>
    <w:p w14:paraId="77335849" w14:textId="77777777" w:rsidR="00101499" w:rsidRDefault="00101499" w:rsidP="00101499">
      <w:pPr>
        <w:jc w:val="left"/>
      </w:pPr>
      <w:r>
        <w:t>Ort, Datum: __________________ Weiterer Unterzeichner: ________________________</w:t>
      </w:r>
    </w:p>
    <w:p w14:paraId="07CEE7D4" w14:textId="77777777" w:rsidR="00101499" w:rsidRDefault="00101499" w:rsidP="00101499">
      <w:pPr>
        <w:jc w:val="left"/>
      </w:pPr>
    </w:p>
    <w:p w14:paraId="27A05482" w14:textId="77777777" w:rsidR="00101499" w:rsidRDefault="00101499" w:rsidP="00101499">
      <w:pPr>
        <w:jc w:val="left"/>
      </w:pPr>
      <w:r>
        <w:t>Name des Unterzeichners in Druckbuchstaben: _________________________________</w:t>
      </w:r>
    </w:p>
    <w:p w14:paraId="4CD6C44F" w14:textId="77777777" w:rsidR="00101499" w:rsidRDefault="00101499" w:rsidP="00101499">
      <w:pPr>
        <w:jc w:val="left"/>
      </w:pPr>
    </w:p>
    <w:p w14:paraId="6635F6AB" w14:textId="77777777" w:rsidR="00101499" w:rsidRDefault="00101499" w:rsidP="00101499">
      <w:pPr>
        <w:jc w:val="left"/>
      </w:pPr>
    </w:p>
    <w:p w14:paraId="3F44F482" w14:textId="77777777" w:rsidR="00101499" w:rsidRDefault="00101499" w:rsidP="00101499">
      <w:pPr>
        <w:jc w:val="left"/>
      </w:pPr>
      <w:r>
        <w:t>Ort, Datum: __________________ Weiterer Unterzeichner: ________________________</w:t>
      </w:r>
    </w:p>
    <w:p w14:paraId="5364F8C4" w14:textId="77777777" w:rsidR="00101499" w:rsidRDefault="00101499" w:rsidP="00101499">
      <w:pPr>
        <w:jc w:val="left"/>
      </w:pPr>
    </w:p>
    <w:p w14:paraId="63A8535D" w14:textId="77777777" w:rsidR="00101499" w:rsidRDefault="00101499" w:rsidP="00A0378B">
      <w:pPr>
        <w:jc w:val="left"/>
      </w:pPr>
      <w:r>
        <w:t>Name des Unterzeichners in Druckbuchstaben: _________________________________</w:t>
      </w:r>
    </w:p>
    <w:sectPr w:rsidR="00101499" w:rsidSect="00FF5A19">
      <w:headerReference w:type="even" r:id="rId8"/>
      <w:headerReference w:type="default" r:id="rId9"/>
      <w:footerReference w:type="even" r:id="rId10"/>
      <w:footerReference w:type="default" r:id="rId11"/>
      <w:headerReference w:type="first" r:id="rId12"/>
      <w:footerReference w:type="first" r:id="rId13"/>
      <w:pgSz w:w="11906" w:h="16838"/>
      <w:pgMar w:top="1985" w:right="567"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6684D" w14:textId="77777777" w:rsidR="00BD30A8" w:rsidRDefault="00BD30A8">
      <w:r>
        <w:separator/>
      </w:r>
    </w:p>
  </w:endnote>
  <w:endnote w:type="continuationSeparator" w:id="0">
    <w:p w14:paraId="5517E6C8" w14:textId="77777777" w:rsidR="00BD30A8" w:rsidRDefault="00BD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538D8" w14:textId="77777777" w:rsidR="00FF5A19" w:rsidRDefault="00FF5A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A80C9" w14:textId="77777777" w:rsidR="00FF5A19" w:rsidRPr="00FF5A19" w:rsidRDefault="00FF5A19" w:rsidP="00FF5A19">
    <w:pPr>
      <w:spacing w:line="240" w:lineRule="auto"/>
      <w:jc w:val="left"/>
      <w:rPr>
        <w:rFonts w:cs="Arial"/>
        <w:color w:val="242424"/>
        <w:sz w:val="16"/>
        <w:szCs w:val="16"/>
      </w:rPr>
    </w:pPr>
  </w:p>
  <w:p w14:paraId="660B9F25" w14:textId="77777777" w:rsidR="00FF5A19" w:rsidRPr="00FF5A19" w:rsidRDefault="00FF5A19" w:rsidP="00FF5A19">
    <w:pPr>
      <w:spacing w:line="240" w:lineRule="auto"/>
      <w:jc w:val="left"/>
      <w:rPr>
        <w:rFonts w:cs="Arial"/>
        <w:color w:val="242424"/>
        <w:sz w:val="16"/>
        <w:szCs w:val="16"/>
      </w:rPr>
    </w:pPr>
    <w:r w:rsidRPr="00FF5A19">
      <w:rPr>
        <w:rFonts w:cs="Arial"/>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sidRPr="00FF5A19">
      <w:rPr>
        <w:rFonts w:cs="Arial"/>
        <w:b/>
        <w:bCs/>
        <w:color w:val="242424"/>
        <w:sz w:val="16"/>
        <w:szCs w:val="16"/>
      </w:rPr>
      <w:t>gleichberechtigt und verbandsübergreifend</w:t>
    </w:r>
    <w:r w:rsidRPr="00FF5A19">
      <w:rPr>
        <w:rFonts w:cs="Arial"/>
        <w:color w:val="242424"/>
        <w:sz w:val="16"/>
        <w:szCs w:val="16"/>
      </w:rPr>
      <w:t>.</w:t>
    </w:r>
  </w:p>
  <w:p w14:paraId="6D9759AC" w14:textId="77777777" w:rsidR="00FF5A19" w:rsidRPr="00635EA3" w:rsidRDefault="00FF5A19" w:rsidP="00FF5A19">
    <w:pPr>
      <w:pStyle w:val="Fuzeile"/>
      <w:jc w:val="right"/>
      <w:rPr>
        <w:rFonts w:ascii="Arial" w:hAnsi="Arial" w:cs="Arial"/>
        <w:sz w:val="16"/>
        <w:szCs w:val="16"/>
      </w:rPr>
    </w:pPr>
    <w:r w:rsidRPr="00635EA3">
      <w:rPr>
        <w:rFonts w:ascii="Arial" w:hAnsi="Arial" w:cs="Arial"/>
        <w:sz w:val="16"/>
        <w:szCs w:val="16"/>
      </w:rPr>
      <w:t>Stand 22.5.22</w:t>
    </w:r>
  </w:p>
  <w:p w14:paraId="65A223DF" w14:textId="46B07910" w:rsidR="00635EA3" w:rsidRDefault="00635EA3" w:rsidP="00FF5A19">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D8ED1" w14:textId="77777777" w:rsidR="00FF5A19" w:rsidRDefault="00FF5A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5B1A4" w14:textId="77777777" w:rsidR="00BD30A8" w:rsidRDefault="00BD30A8">
      <w:r>
        <w:separator/>
      </w:r>
    </w:p>
  </w:footnote>
  <w:footnote w:type="continuationSeparator" w:id="0">
    <w:p w14:paraId="63810C27" w14:textId="77777777" w:rsidR="00BD30A8" w:rsidRDefault="00BD30A8">
      <w:r>
        <w:continuationSeparator/>
      </w:r>
    </w:p>
  </w:footnote>
  <w:footnote w:id="1">
    <w:p w14:paraId="4BFCD832" w14:textId="77777777" w:rsidR="00EF4478" w:rsidRDefault="00EF4478" w:rsidP="00A60CDE">
      <w:pPr>
        <w:pStyle w:val="Funotentext"/>
        <w:jc w:val="left"/>
        <w:rPr>
          <w:rFonts w:ascii="Arial" w:hAnsi="Arial" w:cs="Arial"/>
          <w:sz w:val="16"/>
          <w:szCs w:val="16"/>
        </w:rPr>
      </w:pPr>
      <w:r>
        <w:rPr>
          <w:rStyle w:val="Funotenzeichen"/>
        </w:rPr>
        <w:footnoteRef/>
      </w:r>
      <w:r>
        <w:t xml:space="preserve"> </w:t>
      </w:r>
      <w:r w:rsidRPr="00EF4478">
        <w:rPr>
          <w:rFonts w:ascii="Arial" w:hAnsi="Arial" w:cs="Arial"/>
          <w:sz w:val="16"/>
          <w:szCs w:val="16"/>
        </w:rPr>
        <w:t>Nichtzutreffendes ist zu streichen. Gem. § 7b Abs. 1, Satz2, Nr. 1 VVG ist der Kunde darüber zu informieren, ob eine regelmäßige Beurteilung von Versicherungsa</w:t>
      </w:r>
      <w:r>
        <w:rPr>
          <w:rFonts w:ascii="Arial" w:hAnsi="Arial" w:cs="Arial"/>
          <w:sz w:val="16"/>
          <w:szCs w:val="16"/>
        </w:rPr>
        <w:t>n</w:t>
      </w:r>
      <w:r w:rsidRPr="00EF4478">
        <w:rPr>
          <w:rFonts w:ascii="Arial" w:hAnsi="Arial" w:cs="Arial"/>
          <w:sz w:val="16"/>
          <w:szCs w:val="16"/>
        </w:rPr>
        <w:t>lageprodukten angebot</w:t>
      </w:r>
      <w:r>
        <w:rPr>
          <w:rFonts w:ascii="Arial" w:hAnsi="Arial" w:cs="Arial"/>
          <w:sz w:val="16"/>
          <w:szCs w:val="16"/>
        </w:rPr>
        <w:t>en wird</w:t>
      </w:r>
      <w:r w:rsidR="00A60CDE">
        <w:rPr>
          <w:rFonts w:ascii="Arial" w:hAnsi="Arial" w:cs="Arial"/>
          <w:sz w:val="16"/>
          <w:szCs w:val="16"/>
        </w:rPr>
        <w:t xml:space="preserve"> oder nicht</w:t>
      </w:r>
      <w:r>
        <w:rPr>
          <w:rFonts w:ascii="Arial" w:hAnsi="Arial" w:cs="Arial"/>
          <w:sz w:val="16"/>
          <w:szCs w:val="16"/>
        </w:rPr>
        <w:t xml:space="preserve">. </w:t>
      </w:r>
      <w:r w:rsidRPr="00EF4478">
        <w:rPr>
          <w:rFonts w:ascii="Arial" w:hAnsi="Arial" w:cs="Arial"/>
          <w:sz w:val="16"/>
          <w:szCs w:val="16"/>
        </w:rPr>
        <w:t>Alternativ kann dem Kunden diese Information auch individuell rechtzeitig vor Abschluss des Versicherungsvertrages gegeben werden.</w:t>
      </w:r>
    </w:p>
    <w:p w14:paraId="7444DF1C" w14:textId="0C2E7CF4" w:rsidR="00FD0731" w:rsidRPr="00FD0731" w:rsidRDefault="00FD0731" w:rsidP="00FD0731">
      <w:pPr>
        <w:pStyle w:val="Funotentext"/>
        <w:jc w:val="right"/>
        <w:rPr>
          <w:rFonts w:ascii="Arial" w:hAnsi="Arial" w:cs="Arial"/>
          <w:sz w:val="16"/>
          <w:szCs w:val="16"/>
        </w:rPr>
      </w:pPr>
    </w:p>
  </w:footnote>
  <w:footnote w:id="2">
    <w:p w14:paraId="1130251E" w14:textId="77777777" w:rsidR="00A0378B" w:rsidRDefault="00A0378B">
      <w:pPr>
        <w:pStyle w:val="Funotentext"/>
      </w:pPr>
      <w:r>
        <w:rPr>
          <w:rStyle w:val="Funotenzeichen"/>
        </w:rPr>
        <w:footnoteRef/>
      </w:r>
      <w:r>
        <w:t xml:space="preserve"> </w:t>
      </w:r>
      <w:r w:rsidRPr="002805A8">
        <w:rPr>
          <w:rFonts w:ascii="Arial" w:hAnsi="Arial" w:cs="Arial"/>
          <w:sz w:val="16"/>
          <w:szCs w:val="22"/>
        </w:rPr>
        <w:t xml:space="preserve">Diese Klausel soll den Kunden sensibilisieren, Änderungen seiner Risikosituation von sich aus zu melden. Die Pflichten des Maklers werden </w:t>
      </w:r>
      <w:r w:rsidR="00520130">
        <w:rPr>
          <w:rFonts w:ascii="Arial" w:hAnsi="Arial" w:cs="Arial"/>
          <w:sz w:val="16"/>
          <w:szCs w:val="22"/>
        </w:rPr>
        <w:t xml:space="preserve">jedoch </w:t>
      </w:r>
      <w:r>
        <w:rPr>
          <w:rFonts w:ascii="Arial" w:hAnsi="Arial" w:cs="Arial"/>
          <w:sz w:val="16"/>
          <w:szCs w:val="22"/>
        </w:rPr>
        <w:t xml:space="preserve">grundsätzlich </w:t>
      </w:r>
      <w:r w:rsidRPr="002805A8">
        <w:rPr>
          <w:rFonts w:ascii="Arial" w:hAnsi="Arial" w:cs="Arial"/>
          <w:sz w:val="16"/>
          <w:szCs w:val="22"/>
        </w:rPr>
        <w:t>durch eine derartige Regelung nicht eingeschränkt.</w:t>
      </w:r>
    </w:p>
  </w:footnote>
  <w:footnote w:id="3">
    <w:p w14:paraId="7F0CB1C2" w14:textId="77777777" w:rsidR="006A4299" w:rsidRDefault="006A4299">
      <w:pPr>
        <w:pStyle w:val="Funotentext"/>
      </w:pPr>
      <w:r>
        <w:rPr>
          <w:rStyle w:val="Funotenzeichen"/>
        </w:rPr>
        <w:footnoteRef/>
      </w:r>
      <w:r>
        <w:t xml:space="preserve"> </w:t>
      </w:r>
      <w:r w:rsidRPr="006A4299">
        <w:rPr>
          <w:rFonts w:ascii="Arial" w:hAnsi="Arial" w:cs="Arial"/>
          <w:sz w:val="16"/>
          <w:szCs w:val="16"/>
        </w:rPr>
        <w:t>Die Monatsfrist ist ein Vorschlag des Arbeitskreises. Auch der Makler kann nach gesetzlichen Vorschriften ohne Einhaltung einer Frist kündigen, nur nicht zur Unzeit (§ 627 BGB).</w:t>
      </w:r>
    </w:p>
  </w:footnote>
  <w:footnote w:id="4">
    <w:p w14:paraId="250C52B8" w14:textId="77777777" w:rsidR="002B3230" w:rsidRDefault="002B3230">
      <w:pPr>
        <w:pStyle w:val="Funotentext"/>
      </w:pPr>
      <w:r>
        <w:rPr>
          <w:rStyle w:val="Funotenzeichen"/>
        </w:rPr>
        <w:footnoteRef/>
      </w:r>
      <w:r>
        <w:t xml:space="preserve"> </w:t>
      </w:r>
      <w:r w:rsidRPr="002B3230">
        <w:rPr>
          <w:rFonts w:ascii="Arial" w:hAnsi="Arial" w:cs="Arial"/>
          <w:sz w:val="16"/>
          <w:szCs w:val="16"/>
        </w:rPr>
        <w:t xml:space="preserve">Auf Grund der vielfältigen Gestaltungsmöglichkeiten und der damit zusammenhängenden schwierigen Rechtsfragen haben wir auf eine schematische Darstellung verzichtet. Wenden Sie sich im konkreten Fall bitte an </w:t>
      </w:r>
      <w:r>
        <w:rPr>
          <w:rFonts w:ascii="Arial" w:hAnsi="Arial" w:cs="Arial"/>
          <w:sz w:val="16"/>
          <w:szCs w:val="16"/>
        </w:rPr>
        <w:t xml:space="preserve">einen Rechtsanwalt und/oder an </w:t>
      </w:r>
      <w:r w:rsidRPr="002B3230">
        <w:rPr>
          <w:rFonts w:ascii="Arial" w:hAnsi="Arial" w:cs="Arial"/>
          <w:sz w:val="16"/>
          <w:szCs w:val="16"/>
        </w:rPr>
        <w:t>Ihren Berufsverband.</w:t>
      </w:r>
    </w:p>
  </w:footnote>
  <w:footnote w:id="5">
    <w:p w14:paraId="64CE1E67" w14:textId="77777777" w:rsidR="00601F34" w:rsidRPr="00D32576" w:rsidRDefault="00601F34" w:rsidP="00601F34">
      <w:pPr>
        <w:pStyle w:val="Funotentext"/>
        <w:rPr>
          <w:rFonts w:ascii="Arial" w:hAnsi="Arial" w:cs="Arial"/>
          <w:sz w:val="16"/>
          <w:szCs w:val="16"/>
        </w:rPr>
      </w:pPr>
      <w:r w:rsidRPr="00D32576">
        <w:rPr>
          <w:rStyle w:val="Funotenzeichen"/>
          <w:rFonts w:ascii="Arial" w:hAnsi="Arial" w:cs="Arial"/>
          <w:sz w:val="16"/>
          <w:szCs w:val="16"/>
        </w:rPr>
        <w:footnoteRef/>
      </w:r>
      <w:r w:rsidRPr="00D32576">
        <w:rPr>
          <w:rFonts w:ascii="Arial" w:hAnsi="Arial" w:cs="Arial"/>
          <w:sz w:val="16"/>
          <w:szCs w:val="16"/>
        </w:rPr>
        <w:t xml:space="preserve"> Es kann eine andere Frist eingesetzt werden, die mindestens ein</w:t>
      </w:r>
      <w:r>
        <w:rPr>
          <w:rFonts w:ascii="Arial" w:hAnsi="Arial" w:cs="Arial"/>
          <w:sz w:val="16"/>
          <w:szCs w:val="16"/>
        </w:rPr>
        <w:t>en</w:t>
      </w:r>
      <w:r w:rsidRPr="00D32576">
        <w:rPr>
          <w:rFonts w:ascii="Arial" w:hAnsi="Arial" w:cs="Arial"/>
          <w:sz w:val="16"/>
          <w:szCs w:val="16"/>
        </w:rPr>
        <w:t xml:space="preserve"> Monat betragen sollte.</w:t>
      </w:r>
    </w:p>
  </w:footnote>
  <w:footnote w:id="6">
    <w:p w14:paraId="52715326" w14:textId="77777777" w:rsidR="00A0378B" w:rsidRPr="00374138" w:rsidRDefault="00A0378B" w:rsidP="00F32CE9">
      <w:pPr>
        <w:spacing w:before="20" w:line="240" w:lineRule="auto"/>
        <w:jc w:val="left"/>
        <w:rPr>
          <w:sz w:val="16"/>
          <w:szCs w:val="16"/>
        </w:rPr>
      </w:pPr>
      <w:r w:rsidRPr="00823844">
        <w:rPr>
          <w:rStyle w:val="Funotenzeichen"/>
          <w:sz w:val="16"/>
          <w:szCs w:val="16"/>
        </w:rPr>
        <w:footnoteRef/>
      </w:r>
      <w:r w:rsidRPr="00823844">
        <w:rPr>
          <w:sz w:val="16"/>
          <w:szCs w:val="16"/>
        </w:rPr>
        <w:t xml:space="preserve"> </w:t>
      </w:r>
      <w:r w:rsidRPr="00EF0FBB">
        <w:rPr>
          <w:sz w:val="16"/>
          <w:szCs w:val="16"/>
        </w:rPr>
        <w:t>Die Möglichkeit einer Begrenzung der Haftung bei der Verletzung beruflicher Sorgfaltspflichten ist problematisch, daher möchte der Arbeitskreis keine Empfehlung abgeben.</w:t>
      </w:r>
      <w:r>
        <w:rPr>
          <w:sz w:val="16"/>
          <w:szCs w:val="16"/>
        </w:rPr>
        <w:t xml:space="preserve"> Die gemeinsame Haftungsbegrenzung von gesetzlicher und vertraglicher Haftung birgt rechtliche Schwierigkeiten wegen §§ 63 und 67 VVG.</w:t>
      </w:r>
      <w:r w:rsidR="00FA01F2">
        <w:rPr>
          <w:sz w:val="16"/>
          <w:szCs w:val="16"/>
        </w:rPr>
        <w:t xml:space="preserve"> </w:t>
      </w:r>
      <w:r>
        <w:rPr>
          <w:sz w:val="16"/>
          <w:szCs w:val="16"/>
        </w:rPr>
        <w:t xml:space="preserve">Wegen der etwaigen Begrenzung Ihrer Haftung wenden Sie sich bitte an einen Rechtsanwalt und/oder Ihren Berufsverband.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F7F72" w14:textId="77777777" w:rsidR="00FF5A19" w:rsidRDefault="00FF5A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11E84" w14:textId="31268E74" w:rsidR="00FF5A19" w:rsidRDefault="0049509C" w:rsidP="00FF5A19">
    <w:pPr>
      <w:pStyle w:val="Kopfzeile"/>
      <w:jc w:val="right"/>
    </w:pPr>
    <w:r>
      <w:rPr>
        <w:noProof/>
      </w:rPr>
      <w:drawing>
        <wp:inline distT="0" distB="0" distL="0" distR="0" wp14:anchorId="2F33C4A5" wp14:editId="42B2BAF2">
          <wp:extent cx="1905000" cy="323691"/>
          <wp:effectExtent l="0" t="0" r="0" b="635"/>
          <wp:docPr id="19233904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90483"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91"/>
                  </a:xfrm>
                  <a:prstGeom prst="rect">
                    <a:avLst/>
                  </a:prstGeom>
                </pic:spPr>
              </pic:pic>
            </a:graphicData>
          </a:graphic>
        </wp:inline>
      </w:drawing>
    </w:r>
    <w:r w:rsidR="00FF5A19">
      <w:rPr>
        <w:noProof/>
      </w:rPr>
      <w:drawing>
        <wp:anchor distT="0" distB="0" distL="114300" distR="114300" simplePos="0" relativeHeight="251659264" behindDoc="0" locked="0" layoutInCell="1" allowOverlap="1" wp14:anchorId="384B260B" wp14:editId="313933DC">
          <wp:simplePos x="0" y="0"/>
          <wp:positionH relativeFrom="margin">
            <wp:align>right</wp:align>
          </wp:positionH>
          <wp:positionV relativeFrom="page">
            <wp:posOffset>487680</wp:posOffset>
          </wp:positionV>
          <wp:extent cx="2162175" cy="457200"/>
          <wp:effectExtent l="0" t="0" r="9525" b="0"/>
          <wp:wrapNone/>
          <wp:docPr id="2988456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5651" name=""/>
                  <pic:cNvPicPr/>
                </pic:nvPicPr>
                <pic:blipFill>
                  <a:blip r:embed="rId2">
                    <a:extLst>
                      <a:ext uri="{28A0092B-C50C-407E-A947-70E740481C1C}">
                        <a14:useLocalDpi xmlns:a14="http://schemas.microsoft.com/office/drawing/2010/main" val="0"/>
                      </a:ext>
                    </a:extLst>
                  </a:blip>
                  <a:stretch>
                    <a:fillRect/>
                  </a:stretch>
                </pic:blipFill>
                <pic:spPr>
                  <a:xfrm>
                    <a:off x="0" y="0"/>
                    <a:ext cx="2162175" cy="457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7B0D0" w14:textId="77777777" w:rsidR="00FF5A19" w:rsidRDefault="00FF5A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7043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D24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D88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20C6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44F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10D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B25E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253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8879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B671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F92520"/>
    <w:multiLevelType w:val="hybridMultilevel"/>
    <w:tmpl w:val="37FC23DC"/>
    <w:lvl w:ilvl="0" w:tplc="04070005">
      <w:start w:val="1"/>
      <w:numFmt w:val="bullet"/>
      <w:lvlText w:val=""/>
      <w:lvlJc w:val="left"/>
      <w:pPr>
        <w:tabs>
          <w:tab w:val="num" w:pos="360"/>
        </w:tabs>
        <w:ind w:left="360" w:hanging="360"/>
      </w:pPr>
      <w:rPr>
        <w:rFonts w:ascii="Wingdings" w:hAnsi="Wingdings" w:hint="default"/>
        <w:b w:val="0"/>
        <w:i w:val="0"/>
        <w:color w:val="4D4D4D"/>
        <w:sz w:val="21"/>
        <w:szCs w:val="21"/>
        <w:u w:color="4D4D4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A10D5"/>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9B539AC"/>
    <w:multiLevelType w:val="hybridMultilevel"/>
    <w:tmpl w:val="83E20AA2"/>
    <w:lvl w:ilvl="0" w:tplc="04070005">
      <w:start w:val="1"/>
      <w:numFmt w:val="bullet"/>
      <w:lvlText w:val=""/>
      <w:lvlJc w:val="left"/>
      <w:pPr>
        <w:tabs>
          <w:tab w:val="num" w:pos="360"/>
        </w:tabs>
        <w:ind w:left="360" w:hanging="360"/>
      </w:pPr>
      <w:rPr>
        <w:rFonts w:ascii="Wingdings" w:hAnsi="Wingdings" w:hint="default"/>
        <w:b w:val="0"/>
        <w:i w:val="0"/>
        <w:color w:val="4D4D4D"/>
        <w:sz w:val="21"/>
        <w:szCs w:val="21"/>
        <w:u w:color="4D4D4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7F09BA"/>
    <w:multiLevelType w:val="hybridMultilevel"/>
    <w:tmpl w:val="099036E8"/>
    <w:lvl w:ilvl="0" w:tplc="3D4A8C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C16A01"/>
    <w:multiLevelType w:val="singleLevel"/>
    <w:tmpl w:val="F45C05EA"/>
    <w:lvl w:ilvl="0">
      <w:start w:val="1"/>
      <w:numFmt w:val="bullet"/>
      <w:pStyle w:val="L1a"/>
      <w:lvlText w:val="n"/>
      <w:lvlJc w:val="left"/>
      <w:pPr>
        <w:tabs>
          <w:tab w:val="num" w:pos="1267"/>
        </w:tabs>
        <w:ind w:left="1190" w:hanging="283"/>
      </w:pPr>
      <w:rPr>
        <w:rFonts w:ascii="Wingdings" w:hAnsi="Wingdings" w:hint="default"/>
        <w:b w:val="0"/>
        <w:i w:val="0"/>
        <w:color w:val="4D4D4D"/>
        <w:sz w:val="21"/>
        <w:szCs w:val="21"/>
        <w:u w:color="4D4D4D"/>
      </w:rPr>
    </w:lvl>
  </w:abstractNum>
  <w:abstractNum w:abstractNumId="15" w15:restartNumberingAfterBreak="0">
    <w:nsid w:val="5B701BC1"/>
    <w:multiLevelType w:val="singleLevel"/>
    <w:tmpl w:val="BE124316"/>
    <w:lvl w:ilvl="0">
      <w:start w:val="1"/>
      <w:numFmt w:val="bullet"/>
      <w:lvlText w:val=""/>
      <w:lvlJc w:val="left"/>
      <w:pPr>
        <w:tabs>
          <w:tab w:val="num" w:pos="624"/>
        </w:tabs>
        <w:ind w:left="624" w:hanging="624"/>
      </w:pPr>
      <w:rPr>
        <w:rFonts w:ascii="Symbol" w:hAnsi="Symbol" w:hint="default"/>
      </w:rPr>
    </w:lvl>
  </w:abstractNum>
  <w:abstractNum w:abstractNumId="16" w15:restartNumberingAfterBreak="0">
    <w:nsid w:val="71AE71E1"/>
    <w:multiLevelType w:val="singleLevel"/>
    <w:tmpl w:val="5CEE7904"/>
    <w:lvl w:ilvl="0">
      <w:start w:val="1"/>
      <w:numFmt w:val="decimal"/>
      <w:lvlText w:val="(%1)"/>
      <w:lvlJc w:val="left"/>
      <w:pPr>
        <w:tabs>
          <w:tab w:val="num" w:pos="360"/>
        </w:tabs>
        <w:ind w:left="284" w:hanging="284"/>
      </w:pPr>
      <w:rPr>
        <w:rFonts w:hint="default"/>
      </w:rPr>
    </w:lvl>
  </w:abstractNum>
  <w:abstractNum w:abstractNumId="17" w15:restartNumberingAfterBreak="0">
    <w:nsid w:val="7EB40856"/>
    <w:multiLevelType w:val="multilevel"/>
    <w:tmpl w:val="0407001F"/>
    <w:numStyleLink w:val="111111"/>
  </w:abstractNum>
  <w:num w:numId="1" w16cid:durableId="90668420">
    <w:abstractNumId w:val="14"/>
  </w:num>
  <w:num w:numId="2" w16cid:durableId="1469056373">
    <w:abstractNumId w:val="12"/>
  </w:num>
  <w:num w:numId="3" w16cid:durableId="335227130">
    <w:abstractNumId w:val="10"/>
  </w:num>
  <w:num w:numId="4" w16cid:durableId="7678432">
    <w:abstractNumId w:val="9"/>
  </w:num>
  <w:num w:numId="5" w16cid:durableId="318657176">
    <w:abstractNumId w:val="7"/>
  </w:num>
  <w:num w:numId="6" w16cid:durableId="1134523241">
    <w:abstractNumId w:val="6"/>
  </w:num>
  <w:num w:numId="7" w16cid:durableId="647973206">
    <w:abstractNumId w:val="5"/>
  </w:num>
  <w:num w:numId="8" w16cid:durableId="1401055667">
    <w:abstractNumId w:val="4"/>
  </w:num>
  <w:num w:numId="9" w16cid:durableId="1147355415">
    <w:abstractNumId w:val="8"/>
  </w:num>
  <w:num w:numId="10" w16cid:durableId="1844782653">
    <w:abstractNumId w:val="3"/>
  </w:num>
  <w:num w:numId="11" w16cid:durableId="1642079635">
    <w:abstractNumId w:val="2"/>
  </w:num>
  <w:num w:numId="12" w16cid:durableId="16859944">
    <w:abstractNumId w:val="1"/>
  </w:num>
  <w:num w:numId="13" w16cid:durableId="348457672">
    <w:abstractNumId w:val="0"/>
  </w:num>
  <w:num w:numId="14" w16cid:durableId="290550216">
    <w:abstractNumId w:val="11"/>
  </w:num>
  <w:num w:numId="15" w16cid:durableId="1512331076">
    <w:abstractNumId w:val="17"/>
  </w:num>
  <w:num w:numId="16" w16cid:durableId="1383405540">
    <w:abstractNumId w:val="15"/>
  </w:num>
  <w:num w:numId="17" w16cid:durableId="23677626">
    <w:abstractNumId w:val="16"/>
  </w:num>
  <w:num w:numId="18" w16cid:durableId="2078624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C8F1568-B953-48DF-BEC4-6CD548D6D771}"/>
    <w:docVar w:name="dgnword-eventsink" w:val="2807507007248"/>
  </w:docVars>
  <w:rsids>
    <w:rsidRoot w:val="006B09E9"/>
    <w:rsid w:val="00002B75"/>
    <w:rsid w:val="000033E5"/>
    <w:rsid w:val="0000421A"/>
    <w:rsid w:val="000129B6"/>
    <w:rsid w:val="0002471A"/>
    <w:rsid w:val="00027547"/>
    <w:rsid w:val="00034682"/>
    <w:rsid w:val="00042085"/>
    <w:rsid w:val="000421CF"/>
    <w:rsid w:val="00043552"/>
    <w:rsid w:val="00046A0B"/>
    <w:rsid w:val="0005095D"/>
    <w:rsid w:val="00063107"/>
    <w:rsid w:val="00063328"/>
    <w:rsid w:val="00080F92"/>
    <w:rsid w:val="000845F7"/>
    <w:rsid w:val="000879A6"/>
    <w:rsid w:val="00092034"/>
    <w:rsid w:val="0009266C"/>
    <w:rsid w:val="000957CC"/>
    <w:rsid w:val="000A14CB"/>
    <w:rsid w:val="000A1564"/>
    <w:rsid w:val="000A5FB3"/>
    <w:rsid w:val="000B699F"/>
    <w:rsid w:val="000C3A0E"/>
    <w:rsid w:val="000C707D"/>
    <w:rsid w:val="000D4E19"/>
    <w:rsid w:val="000D5AF9"/>
    <w:rsid w:val="000E1FA4"/>
    <w:rsid w:val="000E5470"/>
    <w:rsid w:val="000F5BBF"/>
    <w:rsid w:val="001011D1"/>
    <w:rsid w:val="00101499"/>
    <w:rsid w:val="00101DDE"/>
    <w:rsid w:val="001027E5"/>
    <w:rsid w:val="001030E3"/>
    <w:rsid w:val="0010322E"/>
    <w:rsid w:val="001050C8"/>
    <w:rsid w:val="00113CE1"/>
    <w:rsid w:val="001161D4"/>
    <w:rsid w:val="00117A13"/>
    <w:rsid w:val="0014094C"/>
    <w:rsid w:val="00143802"/>
    <w:rsid w:val="001440E6"/>
    <w:rsid w:val="00144BB8"/>
    <w:rsid w:val="00154858"/>
    <w:rsid w:val="001556A5"/>
    <w:rsid w:val="00161CC1"/>
    <w:rsid w:val="00172766"/>
    <w:rsid w:val="001734A4"/>
    <w:rsid w:val="00184BE1"/>
    <w:rsid w:val="00192462"/>
    <w:rsid w:val="001A49FB"/>
    <w:rsid w:val="001B3838"/>
    <w:rsid w:val="001C021B"/>
    <w:rsid w:val="001C2937"/>
    <w:rsid w:val="001C4042"/>
    <w:rsid w:val="001D08A7"/>
    <w:rsid w:val="001D360C"/>
    <w:rsid w:val="001D73E6"/>
    <w:rsid w:val="001E04A7"/>
    <w:rsid w:val="001E2583"/>
    <w:rsid w:val="001E499D"/>
    <w:rsid w:val="001E5F19"/>
    <w:rsid w:val="001E6F3D"/>
    <w:rsid w:val="001E7E67"/>
    <w:rsid w:val="001F6259"/>
    <w:rsid w:val="00202E5D"/>
    <w:rsid w:val="00212E0B"/>
    <w:rsid w:val="002209ED"/>
    <w:rsid w:val="00222039"/>
    <w:rsid w:val="00222197"/>
    <w:rsid w:val="002318A6"/>
    <w:rsid w:val="002402F1"/>
    <w:rsid w:val="0025601F"/>
    <w:rsid w:val="00257F10"/>
    <w:rsid w:val="0026181C"/>
    <w:rsid w:val="002624F7"/>
    <w:rsid w:val="00270DC1"/>
    <w:rsid w:val="00277C26"/>
    <w:rsid w:val="002805A8"/>
    <w:rsid w:val="00280A08"/>
    <w:rsid w:val="002A520B"/>
    <w:rsid w:val="002A561D"/>
    <w:rsid w:val="002A60D5"/>
    <w:rsid w:val="002A6F0D"/>
    <w:rsid w:val="002B3230"/>
    <w:rsid w:val="002B4D9F"/>
    <w:rsid w:val="002B72E6"/>
    <w:rsid w:val="002C177D"/>
    <w:rsid w:val="002D4FE9"/>
    <w:rsid w:val="002D5625"/>
    <w:rsid w:val="002E0DFB"/>
    <w:rsid w:val="002E4837"/>
    <w:rsid w:val="002E58D3"/>
    <w:rsid w:val="002F4B7A"/>
    <w:rsid w:val="0031173B"/>
    <w:rsid w:val="00311A41"/>
    <w:rsid w:val="003122E8"/>
    <w:rsid w:val="00316B61"/>
    <w:rsid w:val="00320F7B"/>
    <w:rsid w:val="00321CDF"/>
    <w:rsid w:val="00327EE2"/>
    <w:rsid w:val="00330A93"/>
    <w:rsid w:val="00335A91"/>
    <w:rsid w:val="0034777B"/>
    <w:rsid w:val="00354B10"/>
    <w:rsid w:val="00356F0F"/>
    <w:rsid w:val="003617F8"/>
    <w:rsid w:val="00374138"/>
    <w:rsid w:val="00374EDD"/>
    <w:rsid w:val="0038021B"/>
    <w:rsid w:val="00380617"/>
    <w:rsid w:val="003827EA"/>
    <w:rsid w:val="0038346E"/>
    <w:rsid w:val="003842D5"/>
    <w:rsid w:val="00391944"/>
    <w:rsid w:val="003A1F46"/>
    <w:rsid w:val="003A4825"/>
    <w:rsid w:val="003A7021"/>
    <w:rsid w:val="003C3C38"/>
    <w:rsid w:val="003C531D"/>
    <w:rsid w:val="003D38FA"/>
    <w:rsid w:val="003D7E9C"/>
    <w:rsid w:val="003E13CB"/>
    <w:rsid w:val="004126B4"/>
    <w:rsid w:val="004135E5"/>
    <w:rsid w:val="0041370F"/>
    <w:rsid w:val="00414982"/>
    <w:rsid w:val="00414B8F"/>
    <w:rsid w:val="00416DA7"/>
    <w:rsid w:val="00421BD3"/>
    <w:rsid w:val="00422AD4"/>
    <w:rsid w:val="00424C64"/>
    <w:rsid w:val="0043127E"/>
    <w:rsid w:val="00434CE8"/>
    <w:rsid w:val="0044007E"/>
    <w:rsid w:val="00444FA4"/>
    <w:rsid w:val="00452094"/>
    <w:rsid w:val="004534BF"/>
    <w:rsid w:val="00473B18"/>
    <w:rsid w:val="00476114"/>
    <w:rsid w:val="00476A9A"/>
    <w:rsid w:val="004772C3"/>
    <w:rsid w:val="004809AD"/>
    <w:rsid w:val="00484BFB"/>
    <w:rsid w:val="004857F5"/>
    <w:rsid w:val="0049509C"/>
    <w:rsid w:val="004A6872"/>
    <w:rsid w:val="004A7D2F"/>
    <w:rsid w:val="004C2CD2"/>
    <w:rsid w:val="004C3998"/>
    <w:rsid w:val="004C42CF"/>
    <w:rsid w:val="004C6904"/>
    <w:rsid w:val="004D037E"/>
    <w:rsid w:val="004E30D1"/>
    <w:rsid w:val="004E4C6F"/>
    <w:rsid w:val="00500478"/>
    <w:rsid w:val="0051232A"/>
    <w:rsid w:val="00513AE4"/>
    <w:rsid w:val="00516053"/>
    <w:rsid w:val="00520130"/>
    <w:rsid w:val="00522903"/>
    <w:rsid w:val="00532674"/>
    <w:rsid w:val="00535709"/>
    <w:rsid w:val="00542EA5"/>
    <w:rsid w:val="00556527"/>
    <w:rsid w:val="0055670E"/>
    <w:rsid w:val="005607E4"/>
    <w:rsid w:val="00562DF7"/>
    <w:rsid w:val="00563C1A"/>
    <w:rsid w:val="005701CB"/>
    <w:rsid w:val="00573F80"/>
    <w:rsid w:val="005748B9"/>
    <w:rsid w:val="00582622"/>
    <w:rsid w:val="00586FCD"/>
    <w:rsid w:val="0059257E"/>
    <w:rsid w:val="005942AC"/>
    <w:rsid w:val="005A0EBB"/>
    <w:rsid w:val="005A53DA"/>
    <w:rsid w:val="005A6428"/>
    <w:rsid w:val="005B038C"/>
    <w:rsid w:val="005B1913"/>
    <w:rsid w:val="005B2B8F"/>
    <w:rsid w:val="005B63C6"/>
    <w:rsid w:val="005C22CC"/>
    <w:rsid w:val="005C4917"/>
    <w:rsid w:val="005D6449"/>
    <w:rsid w:val="005D6ECE"/>
    <w:rsid w:val="005E14C4"/>
    <w:rsid w:val="005E3DC3"/>
    <w:rsid w:val="005E69A6"/>
    <w:rsid w:val="00601F34"/>
    <w:rsid w:val="00603AA5"/>
    <w:rsid w:val="00613B5D"/>
    <w:rsid w:val="006327F7"/>
    <w:rsid w:val="0063451D"/>
    <w:rsid w:val="00635EA3"/>
    <w:rsid w:val="006372F8"/>
    <w:rsid w:val="00640589"/>
    <w:rsid w:val="00645D2D"/>
    <w:rsid w:val="00645DC3"/>
    <w:rsid w:val="006469BB"/>
    <w:rsid w:val="00647260"/>
    <w:rsid w:val="00655054"/>
    <w:rsid w:val="0066066D"/>
    <w:rsid w:val="00666669"/>
    <w:rsid w:val="006676FA"/>
    <w:rsid w:val="006748F6"/>
    <w:rsid w:val="00676ED4"/>
    <w:rsid w:val="00681C9E"/>
    <w:rsid w:val="0068789D"/>
    <w:rsid w:val="006931A4"/>
    <w:rsid w:val="00694FF8"/>
    <w:rsid w:val="006955C0"/>
    <w:rsid w:val="006A02D4"/>
    <w:rsid w:val="006A4299"/>
    <w:rsid w:val="006A604F"/>
    <w:rsid w:val="006A679C"/>
    <w:rsid w:val="006A6D94"/>
    <w:rsid w:val="006B09E9"/>
    <w:rsid w:val="006B23DD"/>
    <w:rsid w:val="006C7A29"/>
    <w:rsid w:val="006D12DD"/>
    <w:rsid w:val="006D1621"/>
    <w:rsid w:val="006D1AA2"/>
    <w:rsid w:val="006D224E"/>
    <w:rsid w:val="006D7636"/>
    <w:rsid w:val="006E1D36"/>
    <w:rsid w:val="006E4A71"/>
    <w:rsid w:val="006E5809"/>
    <w:rsid w:val="006F04B3"/>
    <w:rsid w:val="0070182E"/>
    <w:rsid w:val="007069C4"/>
    <w:rsid w:val="00716132"/>
    <w:rsid w:val="00725112"/>
    <w:rsid w:val="0073278F"/>
    <w:rsid w:val="00740D3B"/>
    <w:rsid w:val="00741CCE"/>
    <w:rsid w:val="00742288"/>
    <w:rsid w:val="007438A3"/>
    <w:rsid w:val="0076039A"/>
    <w:rsid w:val="007624E0"/>
    <w:rsid w:val="00765B66"/>
    <w:rsid w:val="007679B7"/>
    <w:rsid w:val="007705A0"/>
    <w:rsid w:val="0077555E"/>
    <w:rsid w:val="007811CA"/>
    <w:rsid w:val="00783278"/>
    <w:rsid w:val="00784EEE"/>
    <w:rsid w:val="00786AD7"/>
    <w:rsid w:val="0079214F"/>
    <w:rsid w:val="00795B56"/>
    <w:rsid w:val="007A29F2"/>
    <w:rsid w:val="007A2A64"/>
    <w:rsid w:val="007A717F"/>
    <w:rsid w:val="007A74E3"/>
    <w:rsid w:val="007B3F6C"/>
    <w:rsid w:val="007B74D2"/>
    <w:rsid w:val="007D78AE"/>
    <w:rsid w:val="007E3A78"/>
    <w:rsid w:val="007E5AEC"/>
    <w:rsid w:val="007E669A"/>
    <w:rsid w:val="007F6DC5"/>
    <w:rsid w:val="007F7E38"/>
    <w:rsid w:val="00805C74"/>
    <w:rsid w:val="00811CDE"/>
    <w:rsid w:val="00812035"/>
    <w:rsid w:val="008131E7"/>
    <w:rsid w:val="00813A08"/>
    <w:rsid w:val="008169EF"/>
    <w:rsid w:val="0082245F"/>
    <w:rsid w:val="00823844"/>
    <w:rsid w:val="00832DE1"/>
    <w:rsid w:val="00846E7C"/>
    <w:rsid w:val="00847616"/>
    <w:rsid w:val="008552A6"/>
    <w:rsid w:val="00880361"/>
    <w:rsid w:val="00886B2F"/>
    <w:rsid w:val="00897FAA"/>
    <w:rsid w:val="008A2EAC"/>
    <w:rsid w:val="008B3258"/>
    <w:rsid w:val="008C1888"/>
    <w:rsid w:val="008D0030"/>
    <w:rsid w:val="008D4804"/>
    <w:rsid w:val="008E0C2A"/>
    <w:rsid w:val="008E3633"/>
    <w:rsid w:val="008E50CC"/>
    <w:rsid w:val="008E7474"/>
    <w:rsid w:val="008F2366"/>
    <w:rsid w:val="00900CEA"/>
    <w:rsid w:val="00906D96"/>
    <w:rsid w:val="009077C8"/>
    <w:rsid w:val="00912F54"/>
    <w:rsid w:val="00915676"/>
    <w:rsid w:val="009236F4"/>
    <w:rsid w:val="00956F4F"/>
    <w:rsid w:val="00956F5A"/>
    <w:rsid w:val="009650C6"/>
    <w:rsid w:val="00965335"/>
    <w:rsid w:val="00967F31"/>
    <w:rsid w:val="009708F5"/>
    <w:rsid w:val="009958D5"/>
    <w:rsid w:val="00996D48"/>
    <w:rsid w:val="009A0820"/>
    <w:rsid w:val="009A234F"/>
    <w:rsid w:val="009B3EEC"/>
    <w:rsid w:val="009B5DC6"/>
    <w:rsid w:val="009B6924"/>
    <w:rsid w:val="009D0E0E"/>
    <w:rsid w:val="009D28E9"/>
    <w:rsid w:val="009D2D5E"/>
    <w:rsid w:val="009E5DDF"/>
    <w:rsid w:val="009E6844"/>
    <w:rsid w:val="009F035D"/>
    <w:rsid w:val="00A0378B"/>
    <w:rsid w:val="00A04A06"/>
    <w:rsid w:val="00A05B43"/>
    <w:rsid w:val="00A132B4"/>
    <w:rsid w:val="00A1336C"/>
    <w:rsid w:val="00A2136A"/>
    <w:rsid w:val="00A2663B"/>
    <w:rsid w:val="00A30A0C"/>
    <w:rsid w:val="00A502AE"/>
    <w:rsid w:val="00A54F63"/>
    <w:rsid w:val="00A56BC6"/>
    <w:rsid w:val="00A60CDE"/>
    <w:rsid w:val="00A63A77"/>
    <w:rsid w:val="00A65096"/>
    <w:rsid w:val="00A71AEE"/>
    <w:rsid w:val="00A820E9"/>
    <w:rsid w:val="00A95E0C"/>
    <w:rsid w:val="00A97352"/>
    <w:rsid w:val="00AA357B"/>
    <w:rsid w:val="00AB43C8"/>
    <w:rsid w:val="00AB496E"/>
    <w:rsid w:val="00AB7688"/>
    <w:rsid w:val="00AC132D"/>
    <w:rsid w:val="00AC479B"/>
    <w:rsid w:val="00AD7A6C"/>
    <w:rsid w:val="00AD7DB1"/>
    <w:rsid w:val="00AF3C61"/>
    <w:rsid w:val="00AF52A1"/>
    <w:rsid w:val="00B11653"/>
    <w:rsid w:val="00B11EE1"/>
    <w:rsid w:val="00B122C8"/>
    <w:rsid w:val="00B228C4"/>
    <w:rsid w:val="00B23E54"/>
    <w:rsid w:val="00B25CA3"/>
    <w:rsid w:val="00B5402A"/>
    <w:rsid w:val="00B635A4"/>
    <w:rsid w:val="00B70AB2"/>
    <w:rsid w:val="00B8052C"/>
    <w:rsid w:val="00B91218"/>
    <w:rsid w:val="00B92CAE"/>
    <w:rsid w:val="00B92DEF"/>
    <w:rsid w:val="00B9450A"/>
    <w:rsid w:val="00B95297"/>
    <w:rsid w:val="00B959B2"/>
    <w:rsid w:val="00BA1A53"/>
    <w:rsid w:val="00BA3013"/>
    <w:rsid w:val="00BA52A0"/>
    <w:rsid w:val="00BB1667"/>
    <w:rsid w:val="00BB3379"/>
    <w:rsid w:val="00BC22DE"/>
    <w:rsid w:val="00BD30A8"/>
    <w:rsid w:val="00BE4AE5"/>
    <w:rsid w:val="00BE7701"/>
    <w:rsid w:val="00BF7A75"/>
    <w:rsid w:val="00C11529"/>
    <w:rsid w:val="00C11D7E"/>
    <w:rsid w:val="00C245E8"/>
    <w:rsid w:val="00C27EB7"/>
    <w:rsid w:val="00C27EF7"/>
    <w:rsid w:val="00C40F3C"/>
    <w:rsid w:val="00C42C43"/>
    <w:rsid w:val="00C4376A"/>
    <w:rsid w:val="00C50CF2"/>
    <w:rsid w:val="00C53C87"/>
    <w:rsid w:val="00C54BB3"/>
    <w:rsid w:val="00C57219"/>
    <w:rsid w:val="00C6307D"/>
    <w:rsid w:val="00C63D41"/>
    <w:rsid w:val="00C64BD9"/>
    <w:rsid w:val="00C71418"/>
    <w:rsid w:val="00C73D65"/>
    <w:rsid w:val="00C74C32"/>
    <w:rsid w:val="00C8458C"/>
    <w:rsid w:val="00C84826"/>
    <w:rsid w:val="00C851F5"/>
    <w:rsid w:val="00C932A5"/>
    <w:rsid w:val="00CA0198"/>
    <w:rsid w:val="00CA36ED"/>
    <w:rsid w:val="00CB023B"/>
    <w:rsid w:val="00CB0750"/>
    <w:rsid w:val="00CB14DA"/>
    <w:rsid w:val="00CE13EF"/>
    <w:rsid w:val="00CF077D"/>
    <w:rsid w:val="00CF52C0"/>
    <w:rsid w:val="00CF5B0B"/>
    <w:rsid w:val="00CF6A1C"/>
    <w:rsid w:val="00CF6EC7"/>
    <w:rsid w:val="00CF7B91"/>
    <w:rsid w:val="00D02BD4"/>
    <w:rsid w:val="00D040B1"/>
    <w:rsid w:val="00D04732"/>
    <w:rsid w:val="00D04AE4"/>
    <w:rsid w:val="00D05FE1"/>
    <w:rsid w:val="00D16454"/>
    <w:rsid w:val="00D2312A"/>
    <w:rsid w:val="00D23606"/>
    <w:rsid w:val="00D236AA"/>
    <w:rsid w:val="00D24AD5"/>
    <w:rsid w:val="00D30DB2"/>
    <w:rsid w:val="00D32576"/>
    <w:rsid w:val="00D413A2"/>
    <w:rsid w:val="00D44421"/>
    <w:rsid w:val="00D51438"/>
    <w:rsid w:val="00D65B97"/>
    <w:rsid w:val="00D70695"/>
    <w:rsid w:val="00D74609"/>
    <w:rsid w:val="00D75A4D"/>
    <w:rsid w:val="00D813F4"/>
    <w:rsid w:val="00D822B6"/>
    <w:rsid w:val="00D8656F"/>
    <w:rsid w:val="00D86B8F"/>
    <w:rsid w:val="00D91193"/>
    <w:rsid w:val="00DA2BA3"/>
    <w:rsid w:val="00DB18A4"/>
    <w:rsid w:val="00DB3F21"/>
    <w:rsid w:val="00DB5D0D"/>
    <w:rsid w:val="00DB61FE"/>
    <w:rsid w:val="00DC0379"/>
    <w:rsid w:val="00DC3B76"/>
    <w:rsid w:val="00DC58CC"/>
    <w:rsid w:val="00DC6E2A"/>
    <w:rsid w:val="00DC70F8"/>
    <w:rsid w:val="00DE4947"/>
    <w:rsid w:val="00DE7712"/>
    <w:rsid w:val="00E0217B"/>
    <w:rsid w:val="00E0324C"/>
    <w:rsid w:val="00E06615"/>
    <w:rsid w:val="00E205BA"/>
    <w:rsid w:val="00E20951"/>
    <w:rsid w:val="00E30574"/>
    <w:rsid w:val="00E309D5"/>
    <w:rsid w:val="00E335F7"/>
    <w:rsid w:val="00E40175"/>
    <w:rsid w:val="00E426C5"/>
    <w:rsid w:val="00E47377"/>
    <w:rsid w:val="00E51788"/>
    <w:rsid w:val="00E56E77"/>
    <w:rsid w:val="00E62E1D"/>
    <w:rsid w:val="00E7210D"/>
    <w:rsid w:val="00E731F3"/>
    <w:rsid w:val="00E74C7B"/>
    <w:rsid w:val="00E76906"/>
    <w:rsid w:val="00E771DA"/>
    <w:rsid w:val="00E777A2"/>
    <w:rsid w:val="00E8021E"/>
    <w:rsid w:val="00E83007"/>
    <w:rsid w:val="00E85507"/>
    <w:rsid w:val="00E86CE2"/>
    <w:rsid w:val="00EB117D"/>
    <w:rsid w:val="00EC1169"/>
    <w:rsid w:val="00EC1E66"/>
    <w:rsid w:val="00ED0752"/>
    <w:rsid w:val="00ED1123"/>
    <w:rsid w:val="00ED30F1"/>
    <w:rsid w:val="00EE2D2C"/>
    <w:rsid w:val="00EE59E1"/>
    <w:rsid w:val="00EE5D6E"/>
    <w:rsid w:val="00EF0FBB"/>
    <w:rsid w:val="00EF4478"/>
    <w:rsid w:val="00EF4F55"/>
    <w:rsid w:val="00EF54E5"/>
    <w:rsid w:val="00EF7A93"/>
    <w:rsid w:val="00F06469"/>
    <w:rsid w:val="00F13B05"/>
    <w:rsid w:val="00F21B00"/>
    <w:rsid w:val="00F24BFD"/>
    <w:rsid w:val="00F31336"/>
    <w:rsid w:val="00F32CE9"/>
    <w:rsid w:val="00F40437"/>
    <w:rsid w:val="00F46344"/>
    <w:rsid w:val="00F47074"/>
    <w:rsid w:val="00F50652"/>
    <w:rsid w:val="00F5140C"/>
    <w:rsid w:val="00F530A0"/>
    <w:rsid w:val="00F5384D"/>
    <w:rsid w:val="00F56311"/>
    <w:rsid w:val="00F815A9"/>
    <w:rsid w:val="00F853BE"/>
    <w:rsid w:val="00F90837"/>
    <w:rsid w:val="00F9361F"/>
    <w:rsid w:val="00F94AC5"/>
    <w:rsid w:val="00FA0030"/>
    <w:rsid w:val="00FA01F2"/>
    <w:rsid w:val="00FA3177"/>
    <w:rsid w:val="00FA7D8B"/>
    <w:rsid w:val="00FB3A27"/>
    <w:rsid w:val="00FB458C"/>
    <w:rsid w:val="00FC3348"/>
    <w:rsid w:val="00FC3FA5"/>
    <w:rsid w:val="00FD0731"/>
    <w:rsid w:val="00FD50B9"/>
    <w:rsid w:val="00FD57AD"/>
    <w:rsid w:val="00FF0202"/>
    <w:rsid w:val="00FF5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EC904"/>
  <w15:chartTrackingRefBased/>
  <w15:docId w15:val="{E7081CF6-64D5-4CD6-8F9E-111BB94B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01499"/>
    <w:pPr>
      <w:spacing w:line="280" w:lineRule="exact"/>
      <w:jc w:val="both"/>
    </w:pPr>
    <w:rPr>
      <w:rFonts w:ascii="Arial" w:hAnsi="Arial"/>
      <w:sz w:val="22"/>
      <w:szCs w:val="21"/>
    </w:rPr>
  </w:style>
  <w:style w:type="paragraph" w:styleId="berschrift1">
    <w:name w:val="heading 1"/>
    <w:basedOn w:val="Standard"/>
    <w:next w:val="Standard"/>
    <w:qFormat/>
    <w:rsid w:val="00996D48"/>
    <w:pPr>
      <w:keepNext/>
      <w:spacing w:before="120" w:line="240" w:lineRule="auto"/>
      <w:jc w:val="left"/>
      <w:outlineLvl w:val="0"/>
    </w:pPr>
    <w:rPr>
      <w:rFonts w:cs="Arial"/>
      <w:b/>
      <w:bCs/>
      <w:sz w:val="20"/>
      <w:szCs w:val="20"/>
    </w:rPr>
  </w:style>
  <w:style w:type="paragraph" w:styleId="berschrift2">
    <w:name w:val="heading 2"/>
    <w:basedOn w:val="Standard"/>
    <w:next w:val="Standard"/>
    <w:qFormat/>
    <w:rsid w:val="00F32CE9"/>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link w:val="FunotentextZchn"/>
    <w:uiPriority w:val="99"/>
    <w:semiHidden/>
    <w:rsid w:val="006B09E9"/>
    <w:pPr>
      <w:tabs>
        <w:tab w:val="left" w:pos="227"/>
      </w:tabs>
      <w:spacing w:line="200" w:lineRule="exact"/>
      <w:ind w:left="227" w:hanging="227"/>
      <w:jc w:val="both"/>
    </w:pPr>
    <w:rPr>
      <w:noProof/>
      <w:sz w:val="17"/>
    </w:rPr>
  </w:style>
  <w:style w:type="character" w:styleId="Funotenzeichen">
    <w:name w:val="footnote reference"/>
    <w:uiPriority w:val="99"/>
    <w:semiHidden/>
    <w:rsid w:val="006B09E9"/>
    <w:rPr>
      <w:vertAlign w:val="superscript"/>
    </w:rPr>
  </w:style>
  <w:style w:type="paragraph" w:customStyle="1" w:styleId="kstU1">
    <w:name w:val="kst_U1"/>
    <w:basedOn w:val="Standard"/>
    <w:link w:val="kstU1Zchn"/>
    <w:rsid w:val="006B09E9"/>
    <w:pPr>
      <w:spacing w:before="180" w:line="240" w:lineRule="auto"/>
      <w:ind w:left="113" w:right="113"/>
      <w:jc w:val="left"/>
    </w:pPr>
    <w:rPr>
      <w:b/>
      <w:sz w:val="30"/>
      <w:szCs w:val="30"/>
    </w:rPr>
  </w:style>
  <w:style w:type="paragraph" w:customStyle="1" w:styleId="ksttxt">
    <w:name w:val="kst_txt"/>
    <w:basedOn w:val="Standard"/>
    <w:rsid w:val="006B09E9"/>
    <w:pPr>
      <w:spacing w:before="140" w:after="60"/>
      <w:ind w:left="113" w:right="113"/>
    </w:pPr>
  </w:style>
  <w:style w:type="character" w:customStyle="1" w:styleId="kstU1Zchn">
    <w:name w:val="kst_U1 Zchn"/>
    <w:link w:val="kstU1"/>
    <w:rsid w:val="006B09E9"/>
    <w:rPr>
      <w:b/>
      <w:sz w:val="30"/>
      <w:szCs w:val="30"/>
      <w:lang w:val="de-DE" w:eastAsia="de-DE" w:bidi="ar-SA"/>
    </w:rPr>
  </w:style>
  <w:style w:type="paragraph" w:customStyle="1" w:styleId="L1a">
    <w:name w:val="L1a"/>
    <w:basedOn w:val="Standard"/>
    <w:rsid w:val="006B09E9"/>
    <w:pPr>
      <w:numPr>
        <w:numId w:val="1"/>
      </w:numPr>
      <w:tabs>
        <w:tab w:val="clear" w:pos="1267"/>
        <w:tab w:val="num" w:pos="357"/>
        <w:tab w:val="left" w:pos="1247"/>
      </w:tabs>
      <w:spacing w:before="80" w:after="80"/>
      <w:ind w:left="1247" w:hanging="340"/>
    </w:pPr>
  </w:style>
  <w:style w:type="paragraph" w:customStyle="1" w:styleId="bspL1a">
    <w:name w:val="bsp_L1a"/>
    <w:basedOn w:val="L1a"/>
    <w:rsid w:val="006B09E9"/>
    <w:pPr>
      <w:tabs>
        <w:tab w:val="left" w:pos="624"/>
      </w:tabs>
      <w:ind w:left="624"/>
    </w:pPr>
  </w:style>
  <w:style w:type="paragraph" w:styleId="Sprechblasentext">
    <w:name w:val="Balloon Text"/>
    <w:basedOn w:val="Standard"/>
    <w:semiHidden/>
    <w:rsid w:val="002D5625"/>
    <w:rPr>
      <w:rFonts w:ascii="Tahoma" w:hAnsi="Tahoma" w:cs="Tahoma"/>
      <w:sz w:val="16"/>
      <w:szCs w:val="16"/>
    </w:rPr>
  </w:style>
  <w:style w:type="paragraph" w:styleId="Fuzeile">
    <w:name w:val="footer"/>
    <w:basedOn w:val="Standard"/>
    <w:link w:val="FuzeileZchn"/>
    <w:uiPriority w:val="99"/>
    <w:rsid w:val="006327F7"/>
    <w:pPr>
      <w:tabs>
        <w:tab w:val="center" w:pos="4536"/>
        <w:tab w:val="right" w:pos="9072"/>
      </w:tabs>
      <w:spacing w:line="240" w:lineRule="auto"/>
      <w:jc w:val="left"/>
    </w:pPr>
    <w:rPr>
      <w:rFonts w:ascii="Tms Rmn" w:hAnsi="Tms Rmn"/>
      <w:sz w:val="20"/>
      <w:szCs w:val="20"/>
    </w:rPr>
  </w:style>
  <w:style w:type="numbering" w:styleId="111111">
    <w:name w:val="Outline List 2"/>
    <w:basedOn w:val="KeineListe"/>
    <w:rsid w:val="001734A4"/>
    <w:pPr>
      <w:numPr>
        <w:numId w:val="14"/>
      </w:numPr>
    </w:pPr>
  </w:style>
  <w:style w:type="paragraph" w:styleId="Kopfzeile">
    <w:name w:val="header"/>
    <w:basedOn w:val="Standard"/>
    <w:link w:val="KopfzeileZchn"/>
    <w:uiPriority w:val="99"/>
    <w:rsid w:val="00080F92"/>
    <w:pPr>
      <w:tabs>
        <w:tab w:val="center" w:pos="4536"/>
        <w:tab w:val="right" w:pos="9072"/>
      </w:tabs>
    </w:pPr>
  </w:style>
  <w:style w:type="paragraph" w:styleId="Textkrper">
    <w:name w:val="Body Text"/>
    <w:basedOn w:val="Standard"/>
    <w:rsid w:val="00F32CE9"/>
    <w:pPr>
      <w:spacing w:before="120" w:line="240" w:lineRule="auto"/>
      <w:jc w:val="left"/>
    </w:pPr>
    <w:rPr>
      <w:rFonts w:cs="Arial"/>
      <w:color w:val="FF0000"/>
      <w:sz w:val="20"/>
      <w:szCs w:val="20"/>
    </w:rPr>
  </w:style>
  <w:style w:type="character" w:styleId="Kommentarzeichen">
    <w:name w:val="annotation reference"/>
    <w:semiHidden/>
    <w:rsid w:val="00F32CE9"/>
    <w:rPr>
      <w:sz w:val="16"/>
      <w:szCs w:val="16"/>
    </w:rPr>
  </w:style>
  <w:style w:type="paragraph" w:styleId="Kommentartext">
    <w:name w:val="annotation text"/>
    <w:basedOn w:val="Standard"/>
    <w:semiHidden/>
    <w:rsid w:val="00F32CE9"/>
    <w:rPr>
      <w:sz w:val="20"/>
      <w:szCs w:val="20"/>
    </w:rPr>
  </w:style>
  <w:style w:type="paragraph" w:styleId="Kommentarthema">
    <w:name w:val="annotation subject"/>
    <w:basedOn w:val="Kommentartext"/>
    <w:next w:val="Kommentartext"/>
    <w:semiHidden/>
    <w:rsid w:val="00F32CE9"/>
    <w:rPr>
      <w:b/>
      <w:bCs/>
    </w:rPr>
  </w:style>
  <w:style w:type="character" w:customStyle="1" w:styleId="FunotentextZchn">
    <w:name w:val="Fußnotentext Zchn"/>
    <w:link w:val="Funotentext"/>
    <w:uiPriority w:val="99"/>
    <w:semiHidden/>
    <w:rsid w:val="006372F8"/>
    <w:rPr>
      <w:noProof/>
      <w:sz w:val="17"/>
    </w:rPr>
  </w:style>
  <w:style w:type="paragraph" w:styleId="Textkrper3">
    <w:name w:val="Body Text 3"/>
    <w:basedOn w:val="Standard"/>
    <w:link w:val="Textkrper3Zchn"/>
    <w:rsid w:val="00E76906"/>
    <w:pPr>
      <w:spacing w:after="120"/>
    </w:pPr>
    <w:rPr>
      <w:sz w:val="16"/>
      <w:szCs w:val="16"/>
    </w:rPr>
  </w:style>
  <w:style w:type="character" w:customStyle="1" w:styleId="Textkrper3Zchn">
    <w:name w:val="Textkörper 3 Zchn"/>
    <w:link w:val="Textkrper3"/>
    <w:rsid w:val="00E76906"/>
    <w:rPr>
      <w:rFonts w:ascii="Arial" w:hAnsi="Arial"/>
      <w:sz w:val="16"/>
      <w:szCs w:val="16"/>
    </w:rPr>
  </w:style>
  <w:style w:type="paragraph" w:styleId="Endnotentext">
    <w:name w:val="endnote text"/>
    <w:basedOn w:val="Standard"/>
    <w:link w:val="EndnotentextZchn"/>
    <w:rsid w:val="0041370F"/>
    <w:rPr>
      <w:sz w:val="20"/>
      <w:szCs w:val="20"/>
    </w:rPr>
  </w:style>
  <w:style w:type="character" w:customStyle="1" w:styleId="EndnotentextZchn">
    <w:name w:val="Endnotentext Zchn"/>
    <w:link w:val="Endnotentext"/>
    <w:rsid w:val="0041370F"/>
    <w:rPr>
      <w:rFonts w:ascii="Arial" w:hAnsi="Arial"/>
    </w:rPr>
  </w:style>
  <w:style w:type="character" w:styleId="Endnotenzeichen">
    <w:name w:val="endnote reference"/>
    <w:rsid w:val="0041370F"/>
    <w:rPr>
      <w:vertAlign w:val="superscript"/>
    </w:rPr>
  </w:style>
  <w:style w:type="paragraph" w:styleId="Listenabsatz">
    <w:name w:val="List Paragraph"/>
    <w:basedOn w:val="Standard"/>
    <w:uiPriority w:val="34"/>
    <w:qFormat/>
    <w:rsid w:val="00846E7C"/>
    <w:pPr>
      <w:ind w:left="720"/>
      <w:contextualSpacing/>
    </w:pPr>
  </w:style>
  <w:style w:type="character" w:customStyle="1" w:styleId="FuzeileZchn">
    <w:name w:val="Fußzeile Zchn"/>
    <w:basedOn w:val="Absatz-Standardschriftart"/>
    <w:link w:val="Fuzeile"/>
    <w:uiPriority w:val="99"/>
    <w:rsid w:val="007A2A64"/>
    <w:rPr>
      <w:rFonts w:ascii="Tms Rmn" w:hAnsi="Tms Rmn"/>
    </w:rPr>
  </w:style>
  <w:style w:type="character" w:styleId="Hyperlink">
    <w:name w:val="Hyperlink"/>
    <w:uiPriority w:val="99"/>
    <w:unhideWhenUsed/>
    <w:rsid w:val="007A2A64"/>
    <w:rPr>
      <w:color w:val="0000FF"/>
      <w:u w:val="single"/>
    </w:rPr>
  </w:style>
  <w:style w:type="character" w:customStyle="1" w:styleId="KopfzeileZchn">
    <w:name w:val="Kopfzeile Zchn"/>
    <w:basedOn w:val="Absatz-Standardschriftart"/>
    <w:link w:val="Kopfzeile"/>
    <w:uiPriority w:val="99"/>
    <w:rsid w:val="00034682"/>
    <w:rPr>
      <w:rFonts w:ascii="Arial"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82500">
      <w:bodyDiv w:val="1"/>
      <w:marLeft w:val="0"/>
      <w:marRight w:val="0"/>
      <w:marTop w:val="0"/>
      <w:marBottom w:val="0"/>
      <w:divBdr>
        <w:top w:val="none" w:sz="0" w:space="0" w:color="auto"/>
        <w:left w:val="none" w:sz="0" w:space="0" w:color="auto"/>
        <w:bottom w:val="none" w:sz="0" w:space="0" w:color="auto"/>
        <w:right w:val="none" w:sz="0" w:space="0" w:color="auto"/>
      </w:divBdr>
    </w:div>
    <w:div w:id="533924283">
      <w:bodyDiv w:val="1"/>
      <w:marLeft w:val="0"/>
      <w:marRight w:val="0"/>
      <w:marTop w:val="0"/>
      <w:marBottom w:val="0"/>
      <w:divBdr>
        <w:top w:val="none" w:sz="0" w:space="0" w:color="auto"/>
        <w:left w:val="none" w:sz="0" w:space="0" w:color="auto"/>
        <w:bottom w:val="none" w:sz="0" w:space="0" w:color="auto"/>
        <w:right w:val="none" w:sz="0" w:space="0" w:color="auto"/>
      </w:divBdr>
    </w:div>
    <w:div w:id="1202325596">
      <w:bodyDiv w:val="1"/>
      <w:marLeft w:val="0"/>
      <w:marRight w:val="0"/>
      <w:marTop w:val="0"/>
      <w:marBottom w:val="0"/>
      <w:divBdr>
        <w:top w:val="none" w:sz="0" w:space="0" w:color="auto"/>
        <w:left w:val="none" w:sz="0" w:space="0" w:color="auto"/>
        <w:bottom w:val="none" w:sz="0" w:space="0" w:color="auto"/>
        <w:right w:val="none" w:sz="0" w:space="0" w:color="auto"/>
      </w:divBdr>
    </w:div>
    <w:div w:id="1340425236">
      <w:bodyDiv w:val="1"/>
      <w:marLeft w:val="0"/>
      <w:marRight w:val="0"/>
      <w:marTop w:val="0"/>
      <w:marBottom w:val="0"/>
      <w:divBdr>
        <w:top w:val="none" w:sz="0" w:space="0" w:color="auto"/>
        <w:left w:val="none" w:sz="0" w:space="0" w:color="auto"/>
        <w:bottom w:val="none" w:sz="0" w:space="0" w:color="auto"/>
        <w:right w:val="none" w:sz="0" w:space="0" w:color="auto"/>
      </w:divBdr>
    </w:div>
    <w:div w:id="21181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DC7FDB6-04CC-40F6-9982-1EC5C50E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4200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Maklerauftrag</vt:lpstr>
    </vt:vector>
  </TitlesOfParts>
  <Company>Sandkühler &amp; Partner GmbH</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Maklerauftrag</dc:title>
  <dc:subject/>
  <dc:creator>Hans-Ludger Sandkühler</dc:creator>
  <cp:keywords/>
  <cp:lastModifiedBy>Michael Franke</cp:lastModifiedBy>
  <cp:revision>4</cp:revision>
  <cp:lastPrinted>2007-12-12T12:30:00Z</cp:lastPrinted>
  <dcterms:created xsi:type="dcterms:W3CDTF">2024-06-17T12:57:00Z</dcterms:created>
  <dcterms:modified xsi:type="dcterms:W3CDTF">2024-10-25T13:12:00Z</dcterms:modified>
</cp:coreProperties>
</file>